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EC75E" w14:textId="63A3FDB3" w:rsidR="009964CF" w:rsidRPr="00B47608" w:rsidRDefault="002E3964" w:rsidP="00293A10">
      <w:pPr>
        <w:spacing w:after="0"/>
        <w:ind w:left="-1701" w:right="-1"/>
        <w:rPr>
          <w:b/>
          <w:bCs/>
        </w:rPr>
      </w:pPr>
      <w:r>
        <w:rPr>
          <w:b/>
          <w:bCs/>
          <w:noProof/>
        </w:rPr>
        <w:drawing>
          <wp:anchor distT="0" distB="0" distL="114300" distR="114300" simplePos="0" relativeHeight="251658240" behindDoc="0" locked="0" layoutInCell="1" allowOverlap="1" wp14:anchorId="2548B6C3" wp14:editId="664361C5">
            <wp:simplePos x="0" y="0"/>
            <wp:positionH relativeFrom="page">
              <wp:align>left</wp:align>
            </wp:positionH>
            <wp:positionV relativeFrom="paragraph">
              <wp:posOffset>-427355</wp:posOffset>
            </wp:positionV>
            <wp:extent cx="7786800" cy="11016000"/>
            <wp:effectExtent l="0" t="0" r="5080" b="0"/>
            <wp:wrapNone/>
            <wp:docPr id="219889802" name="Immagine 1" descr="Immagine che contiene testo, schermata, Carattere, design&#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889802" name="Immagine 1" descr="Immagine che contiene testo, schermata, Carattere, design&#10;&#10;Il contenuto generato dall'IA potrebbe non essere corret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86800" cy="11016000"/>
                    </a:xfrm>
                    <a:prstGeom prst="rect">
                      <a:avLst/>
                    </a:prstGeom>
                  </pic:spPr>
                </pic:pic>
              </a:graphicData>
            </a:graphic>
            <wp14:sizeRelH relativeFrom="margin">
              <wp14:pctWidth>0</wp14:pctWidth>
            </wp14:sizeRelH>
            <wp14:sizeRelV relativeFrom="margin">
              <wp14:pctHeight>0</wp14:pctHeight>
            </wp14:sizeRelV>
          </wp:anchor>
        </w:drawing>
      </w:r>
    </w:p>
    <w:p w14:paraId="73D5BEFA" w14:textId="77777777" w:rsidR="00EA030E" w:rsidRDefault="00EA030E" w:rsidP="00ED2A57">
      <w:pPr>
        <w:spacing w:after="0"/>
        <w:rPr>
          <w:b/>
          <w:bCs/>
          <w:sz w:val="48"/>
          <w:szCs w:val="48"/>
        </w:rPr>
      </w:pPr>
    </w:p>
    <w:p w14:paraId="57ACE0D6" w14:textId="77777777" w:rsidR="00293A10" w:rsidRDefault="00293A10" w:rsidP="00ED2A57">
      <w:pPr>
        <w:spacing w:after="0"/>
        <w:rPr>
          <w:b/>
          <w:bCs/>
          <w:sz w:val="48"/>
          <w:szCs w:val="48"/>
        </w:rPr>
      </w:pPr>
    </w:p>
    <w:p w14:paraId="3C3BF2C5" w14:textId="77777777" w:rsidR="00293A10" w:rsidRDefault="00293A10" w:rsidP="00ED2A57">
      <w:pPr>
        <w:spacing w:after="0"/>
        <w:rPr>
          <w:b/>
          <w:bCs/>
          <w:sz w:val="48"/>
          <w:szCs w:val="48"/>
        </w:rPr>
      </w:pPr>
    </w:p>
    <w:p w14:paraId="5BFA479C" w14:textId="77777777" w:rsidR="00293A10" w:rsidRDefault="00293A10" w:rsidP="00ED2A57">
      <w:pPr>
        <w:spacing w:after="0"/>
        <w:rPr>
          <w:b/>
          <w:bCs/>
          <w:sz w:val="48"/>
          <w:szCs w:val="48"/>
        </w:rPr>
      </w:pPr>
    </w:p>
    <w:p w14:paraId="51F7200D" w14:textId="77777777" w:rsidR="00293A10" w:rsidRDefault="00293A10" w:rsidP="00ED2A57">
      <w:pPr>
        <w:spacing w:after="0"/>
        <w:rPr>
          <w:b/>
          <w:bCs/>
          <w:sz w:val="48"/>
          <w:szCs w:val="48"/>
        </w:rPr>
      </w:pPr>
    </w:p>
    <w:p w14:paraId="4EEE67EF" w14:textId="77777777" w:rsidR="00293A10" w:rsidRDefault="00293A10" w:rsidP="00ED2A57">
      <w:pPr>
        <w:spacing w:after="0"/>
        <w:rPr>
          <w:b/>
          <w:bCs/>
          <w:sz w:val="48"/>
          <w:szCs w:val="48"/>
        </w:rPr>
      </w:pPr>
    </w:p>
    <w:p w14:paraId="08E27117" w14:textId="77777777" w:rsidR="00293A10" w:rsidRDefault="00293A10" w:rsidP="00ED2A57">
      <w:pPr>
        <w:spacing w:after="0"/>
        <w:rPr>
          <w:b/>
          <w:bCs/>
          <w:sz w:val="48"/>
          <w:szCs w:val="48"/>
        </w:rPr>
      </w:pPr>
    </w:p>
    <w:p w14:paraId="4AEB309F" w14:textId="77777777" w:rsidR="00293A10" w:rsidRDefault="00293A10" w:rsidP="00ED2A57">
      <w:pPr>
        <w:spacing w:after="0"/>
        <w:rPr>
          <w:b/>
          <w:bCs/>
          <w:sz w:val="48"/>
          <w:szCs w:val="48"/>
        </w:rPr>
      </w:pPr>
    </w:p>
    <w:p w14:paraId="2DE172C2" w14:textId="77777777" w:rsidR="00293A10" w:rsidRDefault="00293A10" w:rsidP="00ED2A57">
      <w:pPr>
        <w:spacing w:after="0"/>
        <w:rPr>
          <w:b/>
          <w:bCs/>
          <w:sz w:val="48"/>
          <w:szCs w:val="48"/>
        </w:rPr>
      </w:pPr>
    </w:p>
    <w:p w14:paraId="343B191F" w14:textId="77777777" w:rsidR="00293A10" w:rsidRDefault="00293A10" w:rsidP="00ED2A57">
      <w:pPr>
        <w:spacing w:after="0"/>
        <w:rPr>
          <w:b/>
          <w:bCs/>
          <w:sz w:val="48"/>
          <w:szCs w:val="48"/>
        </w:rPr>
      </w:pPr>
    </w:p>
    <w:p w14:paraId="51A91791" w14:textId="77777777" w:rsidR="00293A10" w:rsidRDefault="00293A10" w:rsidP="00ED2A57">
      <w:pPr>
        <w:spacing w:after="0"/>
        <w:rPr>
          <w:b/>
          <w:bCs/>
          <w:sz w:val="48"/>
          <w:szCs w:val="48"/>
        </w:rPr>
      </w:pPr>
    </w:p>
    <w:p w14:paraId="38F88380" w14:textId="77777777" w:rsidR="00293A10" w:rsidRDefault="00293A10" w:rsidP="00ED2A57">
      <w:pPr>
        <w:spacing w:after="0"/>
        <w:rPr>
          <w:b/>
          <w:bCs/>
          <w:sz w:val="48"/>
          <w:szCs w:val="48"/>
        </w:rPr>
      </w:pPr>
    </w:p>
    <w:p w14:paraId="26C5A9A9" w14:textId="77777777" w:rsidR="00293A10" w:rsidRDefault="00293A10" w:rsidP="00ED2A57">
      <w:pPr>
        <w:spacing w:after="0"/>
        <w:rPr>
          <w:b/>
          <w:bCs/>
          <w:sz w:val="48"/>
          <w:szCs w:val="48"/>
        </w:rPr>
      </w:pPr>
    </w:p>
    <w:p w14:paraId="1562BE75" w14:textId="77777777" w:rsidR="00293A10" w:rsidRDefault="00293A10" w:rsidP="00ED2A57">
      <w:pPr>
        <w:spacing w:after="0"/>
        <w:rPr>
          <w:b/>
          <w:bCs/>
          <w:sz w:val="48"/>
          <w:szCs w:val="48"/>
        </w:rPr>
      </w:pPr>
    </w:p>
    <w:p w14:paraId="68D35CC7" w14:textId="77777777" w:rsidR="00293A10" w:rsidRDefault="00293A10" w:rsidP="00ED2A57">
      <w:pPr>
        <w:spacing w:after="0"/>
        <w:rPr>
          <w:b/>
          <w:bCs/>
          <w:sz w:val="48"/>
          <w:szCs w:val="48"/>
        </w:rPr>
      </w:pPr>
    </w:p>
    <w:p w14:paraId="5112A74F" w14:textId="77777777" w:rsidR="00293A10" w:rsidRDefault="00293A10" w:rsidP="00ED2A57">
      <w:pPr>
        <w:spacing w:after="0"/>
        <w:rPr>
          <w:b/>
          <w:bCs/>
          <w:sz w:val="48"/>
          <w:szCs w:val="48"/>
        </w:rPr>
      </w:pPr>
    </w:p>
    <w:p w14:paraId="246B8052" w14:textId="77777777" w:rsidR="00293A10" w:rsidRDefault="00293A10" w:rsidP="00ED2A57">
      <w:pPr>
        <w:spacing w:after="0"/>
        <w:rPr>
          <w:b/>
          <w:bCs/>
          <w:sz w:val="48"/>
          <w:szCs w:val="48"/>
        </w:rPr>
      </w:pPr>
    </w:p>
    <w:p w14:paraId="2420EC02" w14:textId="77777777" w:rsidR="00293A10" w:rsidRDefault="00293A10" w:rsidP="00ED2A57">
      <w:pPr>
        <w:spacing w:after="0"/>
        <w:rPr>
          <w:b/>
          <w:bCs/>
          <w:sz w:val="48"/>
          <w:szCs w:val="48"/>
        </w:rPr>
      </w:pPr>
    </w:p>
    <w:p w14:paraId="1EE85149" w14:textId="77777777" w:rsidR="00293A10" w:rsidRDefault="00293A10" w:rsidP="00ED2A57">
      <w:pPr>
        <w:spacing w:after="0"/>
        <w:rPr>
          <w:b/>
          <w:bCs/>
          <w:sz w:val="48"/>
          <w:szCs w:val="48"/>
        </w:rPr>
      </w:pPr>
    </w:p>
    <w:p w14:paraId="2FEFED1D" w14:textId="77777777" w:rsidR="00293A10" w:rsidRDefault="00293A10" w:rsidP="00ED2A57">
      <w:pPr>
        <w:spacing w:after="0"/>
        <w:rPr>
          <w:b/>
          <w:bCs/>
          <w:sz w:val="48"/>
          <w:szCs w:val="48"/>
        </w:rPr>
      </w:pPr>
    </w:p>
    <w:p w14:paraId="16C16C4F" w14:textId="77777777" w:rsidR="00293A10" w:rsidRDefault="00293A10" w:rsidP="00ED2A57">
      <w:pPr>
        <w:spacing w:after="0"/>
        <w:rPr>
          <w:b/>
          <w:bCs/>
          <w:sz w:val="48"/>
          <w:szCs w:val="48"/>
        </w:rPr>
      </w:pPr>
    </w:p>
    <w:p w14:paraId="55EB3FD4" w14:textId="77777777" w:rsidR="00293A10" w:rsidRDefault="00293A10" w:rsidP="00ED2A57">
      <w:pPr>
        <w:spacing w:after="0"/>
        <w:rPr>
          <w:b/>
          <w:bCs/>
          <w:sz w:val="48"/>
          <w:szCs w:val="48"/>
        </w:rPr>
      </w:pPr>
    </w:p>
    <w:p w14:paraId="3F7067DA" w14:textId="77777777" w:rsidR="009964CF" w:rsidRPr="00B47608" w:rsidRDefault="009964CF" w:rsidP="00ED2A57">
      <w:pPr>
        <w:spacing w:after="0"/>
        <w:rPr>
          <w:b/>
          <w:bCs/>
        </w:rPr>
      </w:pPr>
    </w:p>
    <w:p w14:paraId="60CC7900" w14:textId="77777777" w:rsidR="009964CF" w:rsidRPr="00B47608" w:rsidRDefault="009964CF" w:rsidP="00ED2A57">
      <w:pPr>
        <w:spacing w:after="0"/>
        <w:rPr>
          <w:b/>
          <w:bCs/>
        </w:rPr>
      </w:pPr>
    </w:p>
    <w:p w14:paraId="1618A6D2" w14:textId="77777777" w:rsidR="009964CF" w:rsidRPr="00B47608" w:rsidRDefault="009964CF" w:rsidP="00ED2A57">
      <w:pPr>
        <w:spacing w:after="0"/>
        <w:rPr>
          <w:b/>
          <w:bCs/>
        </w:rPr>
      </w:pPr>
    </w:p>
    <w:p w14:paraId="6FF8B4EE" w14:textId="77777777" w:rsidR="009964CF" w:rsidRPr="00B47608" w:rsidRDefault="009964CF" w:rsidP="00ED2A57">
      <w:pPr>
        <w:spacing w:after="0"/>
        <w:rPr>
          <w:b/>
          <w:bCs/>
        </w:rPr>
      </w:pPr>
    </w:p>
    <w:p w14:paraId="07BDC6FF" w14:textId="77777777" w:rsidR="009964CF" w:rsidRPr="00B47608" w:rsidRDefault="009964CF" w:rsidP="00ED2A57">
      <w:pPr>
        <w:spacing w:after="0"/>
        <w:rPr>
          <w:b/>
          <w:bCs/>
        </w:rPr>
      </w:pPr>
    </w:p>
    <w:p w14:paraId="46EE3FC9" w14:textId="2A89BB08" w:rsidR="00E665E8" w:rsidRDefault="00E665E8" w:rsidP="00E665E8">
      <w:pPr>
        <w:rPr>
          <w:b/>
        </w:rPr>
      </w:pPr>
      <w:r>
        <w:rPr>
          <w:b/>
        </w:rPr>
        <w:t xml:space="preserve">Quadro </w:t>
      </w:r>
      <w:r w:rsidR="008E0CA6">
        <w:rPr>
          <w:b/>
        </w:rPr>
        <w:t>generale</w:t>
      </w:r>
      <w:r>
        <w:rPr>
          <w:b/>
        </w:rPr>
        <w:t xml:space="preserve"> a cura di: </w:t>
      </w:r>
    </w:p>
    <w:p w14:paraId="1A250DEA" w14:textId="6A9AF696" w:rsidR="00614590" w:rsidRPr="00614590" w:rsidRDefault="00614590" w:rsidP="00614590">
      <w:pPr>
        <w:spacing w:after="0"/>
      </w:pPr>
      <w:r w:rsidRPr="00614590">
        <w:t>Ivano Gioia: responsabile scenari economici SACE</w:t>
      </w:r>
    </w:p>
    <w:p w14:paraId="27D46920" w14:textId="77777777" w:rsidR="00614590" w:rsidRPr="00614590" w:rsidRDefault="00614590" w:rsidP="00614590">
      <w:pPr>
        <w:spacing w:after="0"/>
      </w:pPr>
      <w:r w:rsidRPr="00614590">
        <w:t>Cecilia Guagnini: analista scenari economici SACE</w:t>
      </w:r>
    </w:p>
    <w:p w14:paraId="62F7153D" w14:textId="77777777" w:rsidR="009964CF" w:rsidRPr="00B47608" w:rsidRDefault="009964CF" w:rsidP="00ED2A57">
      <w:pPr>
        <w:spacing w:after="0"/>
        <w:rPr>
          <w:b/>
          <w:bCs/>
        </w:rPr>
      </w:pPr>
    </w:p>
    <w:p w14:paraId="03326727" w14:textId="77777777" w:rsidR="009964CF" w:rsidRPr="00B47608" w:rsidRDefault="009964CF" w:rsidP="00ED2A57">
      <w:pPr>
        <w:spacing w:after="0"/>
        <w:rPr>
          <w:b/>
          <w:bCs/>
        </w:rPr>
      </w:pPr>
    </w:p>
    <w:p w14:paraId="44249DFA" w14:textId="77777777" w:rsidR="009964CF" w:rsidRPr="00B47608" w:rsidRDefault="009964CF" w:rsidP="00ED2A57">
      <w:pPr>
        <w:spacing w:after="0"/>
        <w:rPr>
          <w:b/>
          <w:bCs/>
        </w:rPr>
      </w:pPr>
    </w:p>
    <w:p w14:paraId="1F7F9F5F" w14:textId="77777777" w:rsidR="009964CF" w:rsidRPr="00B47608" w:rsidRDefault="009964CF" w:rsidP="00ED2A57">
      <w:pPr>
        <w:spacing w:after="0"/>
        <w:rPr>
          <w:b/>
          <w:bCs/>
        </w:rPr>
      </w:pPr>
    </w:p>
    <w:p w14:paraId="0A4E2B97" w14:textId="77777777" w:rsidR="009964CF" w:rsidRPr="00B47608" w:rsidRDefault="009964CF" w:rsidP="00ED2A57">
      <w:pPr>
        <w:spacing w:after="0"/>
        <w:rPr>
          <w:b/>
          <w:bCs/>
        </w:rPr>
      </w:pPr>
    </w:p>
    <w:p w14:paraId="370039A5" w14:textId="7E11C20B" w:rsidR="00527AA9" w:rsidRPr="00B47608" w:rsidRDefault="00527AA9" w:rsidP="00ED2A57">
      <w:pPr>
        <w:spacing w:after="0"/>
        <w:rPr>
          <w:b/>
          <w:bCs/>
        </w:rPr>
      </w:pPr>
      <w:r w:rsidRPr="00B47608">
        <w:rPr>
          <w:b/>
          <w:bCs/>
        </w:rPr>
        <w:t xml:space="preserve">Rapporto di ricerca a cura di: </w:t>
      </w:r>
    </w:p>
    <w:p w14:paraId="1EB05033" w14:textId="77777777" w:rsidR="00527AA9" w:rsidRPr="00B47608" w:rsidRDefault="00527AA9" w:rsidP="00ED2A57">
      <w:pPr>
        <w:spacing w:after="0"/>
      </w:pPr>
    </w:p>
    <w:p w14:paraId="6D018586" w14:textId="77777777" w:rsidR="00527AA9" w:rsidRPr="00B47608" w:rsidRDefault="00527AA9" w:rsidP="00ED2A57">
      <w:pPr>
        <w:spacing w:after="0"/>
      </w:pPr>
      <w:r w:rsidRPr="00B47608">
        <w:t>Gianluca Toschi: ricercatore senior Fondazione Nord Est</w:t>
      </w:r>
    </w:p>
    <w:p w14:paraId="0BE188C6" w14:textId="54834C3B" w:rsidR="00527AA9" w:rsidRPr="00B47608" w:rsidRDefault="00527AA9" w:rsidP="00ED2A57">
      <w:pPr>
        <w:spacing w:after="0"/>
      </w:pPr>
      <w:r w:rsidRPr="00B47608">
        <w:t>Alice Giacome</w:t>
      </w:r>
      <w:r w:rsidR="00140078" w:rsidRPr="00B47608">
        <w:t>lli: ricercatrice Fondazione Nord Est</w:t>
      </w:r>
    </w:p>
    <w:p w14:paraId="6E6C4D14" w14:textId="270158A8" w:rsidR="00527AA9" w:rsidRDefault="00527AA9" w:rsidP="00ED2A57">
      <w:pPr>
        <w:spacing w:after="0"/>
      </w:pPr>
      <w:r w:rsidRPr="00B47608">
        <w:t xml:space="preserve">Lorenzo </w:t>
      </w:r>
      <w:r w:rsidR="00140078" w:rsidRPr="00B47608">
        <w:t>D</w:t>
      </w:r>
      <w:r w:rsidRPr="00B47608">
        <w:t>i Lenna: ricercatore Fondazione Nord Est</w:t>
      </w:r>
    </w:p>
    <w:p w14:paraId="40140EF0" w14:textId="77777777" w:rsidR="007242B9" w:rsidRDefault="007242B9" w:rsidP="00ED2A57">
      <w:pPr>
        <w:spacing w:after="0"/>
      </w:pPr>
    </w:p>
    <w:p w14:paraId="4AE1E958" w14:textId="77777777" w:rsidR="007242B9" w:rsidRDefault="007242B9" w:rsidP="00ED2A57">
      <w:pPr>
        <w:spacing w:after="0"/>
      </w:pPr>
    </w:p>
    <w:p w14:paraId="3CE8E689" w14:textId="77777777" w:rsidR="007242B9" w:rsidRDefault="007242B9" w:rsidP="00ED2A57">
      <w:pPr>
        <w:spacing w:after="0"/>
      </w:pPr>
    </w:p>
    <w:p w14:paraId="47BFB794" w14:textId="77777777" w:rsidR="007242B9" w:rsidRDefault="007242B9" w:rsidP="00ED2A57">
      <w:pPr>
        <w:spacing w:after="0"/>
      </w:pPr>
    </w:p>
    <w:p w14:paraId="0E6A9DE8" w14:textId="77777777" w:rsidR="00BF2093" w:rsidRDefault="00BF2093" w:rsidP="00ED2A57">
      <w:pPr>
        <w:spacing w:after="0"/>
      </w:pPr>
    </w:p>
    <w:p w14:paraId="3F8410CF" w14:textId="1A474D43" w:rsidR="002C29A6" w:rsidRDefault="00AF0449" w:rsidP="00BF2093">
      <w:pPr>
        <w:spacing w:after="0"/>
        <w:jc w:val="both"/>
      </w:pPr>
      <w:r w:rsidRPr="005F0CA2">
        <w:rPr>
          <w:b/>
          <w:bCs/>
        </w:rPr>
        <w:t xml:space="preserve">Un sentito ringraziamento </w:t>
      </w:r>
      <w:r w:rsidR="007F5C70">
        <w:rPr>
          <w:b/>
          <w:bCs/>
        </w:rPr>
        <w:t xml:space="preserve">a </w:t>
      </w:r>
      <w:r w:rsidR="007F5C70">
        <w:t xml:space="preserve">Natascia Porcellato, </w:t>
      </w:r>
      <w:r w:rsidR="007F5C70" w:rsidRPr="00AE23CB">
        <w:t xml:space="preserve">Senior </w:t>
      </w:r>
      <w:proofErr w:type="spellStart"/>
      <w:r w:rsidR="007F5C70" w:rsidRPr="00AE23CB">
        <w:t>Specialist</w:t>
      </w:r>
      <w:proofErr w:type="spellEnd"/>
      <w:r w:rsidR="007F5C70">
        <w:t xml:space="preserve"> </w:t>
      </w:r>
      <w:r w:rsidR="00BF2093">
        <w:t>dell’Ufficio</w:t>
      </w:r>
      <w:r w:rsidR="007F5C70" w:rsidRPr="00AE23CB">
        <w:t xml:space="preserve"> Studi</w:t>
      </w:r>
      <w:r w:rsidR="007F5C70">
        <w:t xml:space="preserve"> di Confindustria Veneto Est, e a Marco Paulo Tonini, </w:t>
      </w:r>
      <w:r w:rsidR="007F5C70" w:rsidRPr="003C193A">
        <w:t>Area Manager</w:t>
      </w:r>
      <w:r w:rsidR="007F5C70">
        <w:t xml:space="preserve"> di </w:t>
      </w:r>
      <w:proofErr w:type="spellStart"/>
      <w:r w:rsidR="007F5C70" w:rsidRPr="003C193A">
        <w:t>Cribis</w:t>
      </w:r>
      <w:proofErr w:type="spellEnd"/>
      <w:r w:rsidR="007F5C70" w:rsidRPr="003C193A">
        <w:t xml:space="preserve"> </w:t>
      </w:r>
      <w:proofErr w:type="spellStart"/>
      <w:r w:rsidR="007F5C70" w:rsidRPr="003C193A">
        <w:t>Dun&amp;Bradstreet</w:t>
      </w:r>
      <w:proofErr w:type="spellEnd"/>
      <w:r w:rsidR="00BF2093">
        <w:rPr>
          <w:b/>
          <w:bCs/>
          <w:i/>
          <w:iCs/>
        </w:rPr>
        <w:t xml:space="preserve"> </w:t>
      </w:r>
      <w:r w:rsidRPr="007F5C70">
        <w:t>per il loro prezioso contributo</w:t>
      </w:r>
      <w:r w:rsidR="007F5C70" w:rsidRPr="007F5C70">
        <w:t xml:space="preserve"> al gruppo di lavoro</w:t>
      </w:r>
      <w:r w:rsidR="007F5C70" w:rsidRPr="00BF2093">
        <w:t>.</w:t>
      </w:r>
      <w:r>
        <w:t xml:space="preserve"> </w:t>
      </w:r>
    </w:p>
    <w:p w14:paraId="3E457E9E" w14:textId="77777777" w:rsidR="007242B9" w:rsidRDefault="007242B9" w:rsidP="00ED2A57">
      <w:pPr>
        <w:spacing w:after="0"/>
      </w:pPr>
    </w:p>
    <w:p w14:paraId="452CF7B4" w14:textId="77777777" w:rsidR="007F5C70" w:rsidRDefault="007F5C70" w:rsidP="00ED2A57">
      <w:pPr>
        <w:spacing w:after="0"/>
      </w:pPr>
    </w:p>
    <w:p w14:paraId="301A817E" w14:textId="77777777" w:rsidR="007F5C70" w:rsidRDefault="007F5C70" w:rsidP="00ED2A57">
      <w:pPr>
        <w:spacing w:after="0"/>
      </w:pPr>
    </w:p>
    <w:p w14:paraId="3CF5D930" w14:textId="77777777" w:rsidR="007F5C70" w:rsidRDefault="007F5C70" w:rsidP="00ED2A57">
      <w:pPr>
        <w:spacing w:after="0"/>
      </w:pPr>
    </w:p>
    <w:p w14:paraId="2E01CF34" w14:textId="77777777" w:rsidR="007F5C70" w:rsidRDefault="007F5C70" w:rsidP="00ED2A57">
      <w:pPr>
        <w:spacing w:after="0"/>
      </w:pPr>
    </w:p>
    <w:p w14:paraId="6498BCA2" w14:textId="77777777" w:rsidR="007F5C70" w:rsidRDefault="007F5C70" w:rsidP="00ED2A57">
      <w:pPr>
        <w:spacing w:after="0"/>
      </w:pPr>
    </w:p>
    <w:p w14:paraId="19B59AEB" w14:textId="77777777" w:rsidR="007242B9" w:rsidRDefault="007242B9" w:rsidP="00ED2A57">
      <w:pPr>
        <w:spacing w:after="0"/>
      </w:pPr>
    </w:p>
    <w:p w14:paraId="4328A505" w14:textId="77777777" w:rsidR="007242B9" w:rsidRDefault="007242B9" w:rsidP="00ED2A57">
      <w:pPr>
        <w:spacing w:after="0"/>
      </w:pPr>
    </w:p>
    <w:p w14:paraId="48A18212" w14:textId="77777777" w:rsidR="007242B9" w:rsidRDefault="007242B9" w:rsidP="00ED2A57">
      <w:pPr>
        <w:spacing w:after="0"/>
      </w:pPr>
    </w:p>
    <w:p w14:paraId="7E9D5C90" w14:textId="77777777" w:rsidR="007242B9" w:rsidRDefault="007242B9" w:rsidP="00ED2A57">
      <w:pPr>
        <w:spacing w:after="0"/>
      </w:pPr>
    </w:p>
    <w:p w14:paraId="54F9047D" w14:textId="77777777" w:rsidR="007242B9" w:rsidRDefault="007242B9" w:rsidP="00ED2A57">
      <w:pPr>
        <w:spacing w:after="0"/>
      </w:pPr>
    </w:p>
    <w:p w14:paraId="0623806C" w14:textId="77777777" w:rsidR="00BF2093" w:rsidRDefault="00BF2093" w:rsidP="00ED2A57">
      <w:pPr>
        <w:spacing w:after="0"/>
      </w:pPr>
    </w:p>
    <w:p w14:paraId="34560932" w14:textId="77777777" w:rsidR="007242B9" w:rsidRDefault="007242B9" w:rsidP="00ED2A57">
      <w:pPr>
        <w:spacing w:after="0"/>
      </w:pPr>
    </w:p>
    <w:p w14:paraId="68505F16" w14:textId="77777777" w:rsidR="007242B9" w:rsidRPr="000244BE" w:rsidRDefault="007242B9" w:rsidP="007242B9">
      <w:pPr>
        <w:rPr>
          <w:b/>
          <w:bCs/>
        </w:rPr>
      </w:pPr>
      <w:r>
        <w:rPr>
          <w:b/>
          <w:bCs/>
        </w:rPr>
        <w:t xml:space="preserve">Ricerca promossa da Confindustria Veneto Est e </w:t>
      </w:r>
      <w:r w:rsidRPr="001E77C6">
        <w:rPr>
          <w:b/>
        </w:rPr>
        <w:t>realizzat</w:t>
      </w:r>
      <w:r>
        <w:rPr>
          <w:b/>
        </w:rPr>
        <w:t>a</w:t>
      </w:r>
      <w:r w:rsidRPr="001E77C6">
        <w:rPr>
          <w:b/>
        </w:rPr>
        <w:t xml:space="preserve"> con il contributo della Camera di Commercio di Treviso-Belluno.</w:t>
      </w:r>
    </w:p>
    <w:p w14:paraId="6E5CCA19" w14:textId="77777777" w:rsidR="007242B9" w:rsidRDefault="007242B9" w:rsidP="007242B9">
      <w:r>
        <w:rPr>
          <w:noProof/>
        </w:rPr>
        <w:drawing>
          <wp:anchor distT="0" distB="0" distL="114300" distR="114300" simplePos="0" relativeHeight="251658243" behindDoc="1" locked="0" layoutInCell="1" allowOverlap="1" wp14:anchorId="3740D891" wp14:editId="4DC108EB">
            <wp:simplePos x="0" y="0"/>
            <wp:positionH relativeFrom="column">
              <wp:posOffset>4261485</wp:posOffset>
            </wp:positionH>
            <wp:positionV relativeFrom="paragraph">
              <wp:posOffset>217170</wp:posOffset>
            </wp:positionV>
            <wp:extent cx="1645606" cy="470172"/>
            <wp:effectExtent l="0" t="0" r="0" b="6350"/>
            <wp:wrapNone/>
            <wp:docPr id="72988192" name="Immagine 72988192"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arattere, logo, Elementi grafici&#10;&#10;Descrizione generata automaticamente"/>
                    <pic:cNvPicPr/>
                  </pic:nvPicPr>
                  <pic:blipFill>
                    <a:blip r:embed="rId12">
                      <a:extLst>
                        <a:ext uri="{28A0092B-C50C-407E-A947-70E740481C1C}">
                          <a14:useLocalDpi xmlns:a14="http://schemas.microsoft.com/office/drawing/2010/main" val="0"/>
                        </a:ext>
                      </a:extLst>
                    </a:blip>
                    <a:stretch>
                      <a:fillRect/>
                    </a:stretch>
                  </pic:blipFill>
                  <pic:spPr>
                    <a:xfrm>
                      <a:off x="0" y="0"/>
                      <a:ext cx="1645606" cy="470172"/>
                    </a:xfrm>
                    <a:prstGeom prst="rect">
                      <a:avLst/>
                    </a:prstGeom>
                  </pic:spPr>
                </pic:pic>
              </a:graphicData>
            </a:graphic>
          </wp:anchor>
        </w:drawing>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7242B9" w14:paraId="5A8D1314" w14:textId="77777777" w:rsidTr="006A7596">
        <w:tc>
          <w:tcPr>
            <w:tcW w:w="3209" w:type="dxa"/>
          </w:tcPr>
          <w:p w14:paraId="78C20BA0" w14:textId="77777777" w:rsidR="007242B9" w:rsidRPr="00BB4DF5" w:rsidRDefault="007242B9" w:rsidP="006A7596">
            <w:r>
              <w:rPr>
                <w:noProof/>
              </w:rPr>
              <w:drawing>
                <wp:anchor distT="0" distB="0" distL="114300" distR="114300" simplePos="0" relativeHeight="251658242" behindDoc="1" locked="0" layoutInCell="1" allowOverlap="1" wp14:anchorId="017FFBD6" wp14:editId="25ECF9C4">
                  <wp:simplePos x="0" y="0"/>
                  <wp:positionH relativeFrom="column">
                    <wp:posOffset>-64770</wp:posOffset>
                  </wp:positionH>
                  <wp:positionV relativeFrom="paragraph">
                    <wp:posOffset>61595</wp:posOffset>
                  </wp:positionV>
                  <wp:extent cx="2373434" cy="409575"/>
                  <wp:effectExtent l="0" t="0" r="8255" b="0"/>
                  <wp:wrapNone/>
                  <wp:docPr id="1721298648" name="Immagine 2" descr="Immagine che contiene testo, Carattere, Elementi grafici, tipografi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298648" name="Immagine 2" descr="Immagine che contiene testo, Carattere, Elementi grafici, tipografia&#10;&#10;Descrizione generata automaticamente"/>
                          <pic:cNvPicPr/>
                        </pic:nvPicPr>
                        <pic:blipFill>
                          <a:blip r:embed="rId13">
                            <a:extLst>
                              <a:ext uri="{28A0092B-C50C-407E-A947-70E740481C1C}">
                                <a14:useLocalDpi xmlns:a14="http://schemas.microsoft.com/office/drawing/2010/main" val="0"/>
                              </a:ext>
                            </a:extLst>
                          </a:blip>
                          <a:stretch>
                            <a:fillRect/>
                          </a:stretch>
                        </pic:blipFill>
                        <pic:spPr>
                          <a:xfrm>
                            <a:off x="0" y="0"/>
                            <a:ext cx="2373434" cy="409575"/>
                          </a:xfrm>
                          <a:prstGeom prst="rect">
                            <a:avLst/>
                          </a:prstGeom>
                        </pic:spPr>
                      </pic:pic>
                    </a:graphicData>
                  </a:graphic>
                </wp:anchor>
              </w:drawing>
            </w:r>
          </w:p>
        </w:tc>
        <w:tc>
          <w:tcPr>
            <w:tcW w:w="3209" w:type="dxa"/>
          </w:tcPr>
          <w:p w14:paraId="474504B7" w14:textId="77777777" w:rsidR="007242B9" w:rsidRDefault="007242B9" w:rsidP="006A7596">
            <w:pPr>
              <w:rPr>
                <w:b/>
              </w:rPr>
            </w:pPr>
            <w:r>
              <w:rPr>
                <w:b/>
                <w:noProof/>
              </w:rPr>
              <w:drawing>
                <wp:anchor distT="0" distB="0" distL="114300" distR="114300" simplePos="0" relativeHeight="251658241" behindDoc="1" locked="0" layoutInCell="1" allowOverlap="1" wp14:anchorId="0F369073" wp14:editId="3B504C41">
                  <wp:simplePos x="0" y="0"/>
                  <wp:positionH relativeFrom="column">
                    <wp:posOffset>603885</wp:posOffset>
                  </wp:positionH>
                  <wp:positionV relativeFrom="paragraph">
                    <wp:posOffset>-262255</wp:posOffset>
                  </wp:positionV>
                  <wp:extent cx="1247775" cy="882460"/>
                  <wp:effectExtent l="0" t="0" r="0" b="0"/>
                  <wp:wrapNone/>
                  <wp:docPr id="911190660" name="Immagine 1" descr="Immagine che contiene Elementi grafici, grafica, log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190660" name="Immagine 1" descr="Immagine che contiene Elementi grafici, grafica, logo, Carattere&#10;&#10;Descrizione generata automa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47775" cy="882460"/>
                          </a:xfrm>
                          <a:prstGeom prst="rect">
                            <a:avLst/>
                          </a:prstGeom>
                        </pic:spPr>
                      </pic:pic>
                    </a:graphicData>
                  </a:graphic>
                </wp:anchor>
              </w:drawing>
            </w:r>
          </w:p>
        </w:tc>
        <w:tc>
          <w:tcPr>
            <w:tcW w:w="3210" w:type="dxa"/>
          </w:tcPr>
          <w:p w14:paraId="3DD2C99B" w14:textId="77777777" w:rsidR="007242B9" w:rsidRDefault="007242B9" w:rsidP="006A7596">
            <w:pPr>
              <w:rPr>
                <w:b/>
              </w:rPr>
            </w:pPr>
          </w:p>
        </w:tc>
      </w:tr>
    </w:tbl>
    <w:p w14:paraId="7121C2F3" w14:textId="77777777" w:rsidR="007242B9" w:rsidRDefault="007242B9" w:rsidP="007242B9"/>
    <w:p w14:paraId="46BC232D" w14:textId="77777777" w:rsidR="007242B9" w:rsidRPr="00B47608" w:rsidRDefault="007242B9" w:rsidP="00ED2A57">
      <w:pPr>
        <w:spacing w:after="0"/>
        <w:rPr>
          <w:b/>
        </w:rPr>
      </w:pPr>
    </w:p>
    <w:p w14:paraId="441A79AC" w14:textId="6F88AF7D" w:rsidR="00527AA9" w:rsidRPr="00B47608" w:rsidRDefault="00527AA9" w:rsidP="00ED2A57">
      <w:pPr>
        <w:spacing w:after="0"/>
      </w:pPr>
      <w:r w:rsidRPr="00B47608">
        <w:br w:type="page"/>
      </w:r>
    </w:p>
    <w:p w14:paraId="69C14851" w14:textId="77777777" w:rsidR="0053137D" w:rsidRPr="00B47608" w:rsidRDefault="0053137D" w:rsidP="00ED2A57">
      <w:pPr>
        <w:spacing w:after="0"/>
      </w:pPr>
    </w:p>
    <w:sdt>
      <w:sdtPr>
        <w:rPr>
          <w:rFonts w:asciiTheme="minorHAnsi" w:eastAsiaTheme="minorHAnsi" w:hAnsiTheme="minorHAnsi" w:cstheme="minorBidi"/>
          <w:color w:val="auto"/>
          <w:kern w:val="2"/>
          <w:sz w:val="22"/>
          <w:szCs w:val="22"/>
          <w:lang w:eastAsia="en-US"/>
          <w14:ligatures w14:val="standardContextual"/>
        </w:rPr>
        <w:id w:val="-401064778"/>
        <w:docPartObj>
          <w:docPartGallery w:val="Table of Contents"/>
          <w:docPartUnique/>
        </w:docPartObj>
      </w:sdtPr>
      <w:sdtEndPr>
        <w:rPr>
          <w:b/>
          <w:bCs/>
        </w:rPr>
      </w:sdtEndPr>
      <w:sdtContent>
        <w:p w14:paraId="60920FB1" w14:textId="1D5323AF" w:rsidR="002940CC" w:rsidRPr="00B47608" w:rsidRDefault="002940CC" w:rsidP="00ED2A57">
          <w:pPr>
            <w:pStyle w:val="Titolosommario"/>
            <w:rPr>
              <w:rFonts w:asciiTheme="minorHAnsi" w:hAnsiTheme="minorHAnsi"/>
            </w:rPr>
          </w:pPr>
          <w:r w:rsidRPr="00B47608">
            <w:rPr>
              <w:rFonts w:asciiTheme="minorHAnsi" w:hAnsiTheme="minorHAnsi"/>
            </w:rPr>
            <w:t>Sommario</w:t>
          </w:r>
        </w:p>
        <w:p w14:paraId="56E953BD" w14:textId="77777777" w:rsidR="00B549B2" w:rsidRPr="00B47608" w:rsidRDefault="00B549B2" w:rsidP="00ED2A57">
          <w:pPr>
            <w:spacing w:after="0"/>
            <w:rPr>
              <w:lang w:eastAsia="it-IT"/>
            </w:rPr>
          </w:pPr>
        </w:p>
        <w:p w14:paraId="65F90A3D" w14:textId="266CCE94" w:rsidR="00BF24CE" w:rsidRDefault="002940CC">
          <w:pPr>
            <w:pStyle w:val="Sommario2"/>
            <w:rPr>
              <w:rFonts w:eastAsiaTheme="minorEastAsia"/>
              <w:noProof/>
              <w:sz w:val="24"/>
              <w:szCs w:val="24"/>
              <w:lang w:eastAsia="it-IT"/>
            </w:rPr>
          </w:pPr>
          <w:r w:rsidRPr="00B47608">
            <w:fldChar w:fldCharType="begin"/>
          </w:r>
          <w:r w:rsidRPr="00B47608">
            <w:instrText xml:space="preserve"> TOC \o "1-3" \h \z \u </w:instrText>
          </w:r>
          <w:r w:rsidRPr="00B47608">
            <w:fldChar w:fldCharType="separate"/>
          </w:r>
          <w:hyperlink w:anchor="_Toc193106848" w:history="1">
            <w:r w:rsidR="00BF24CE" w:rsidRPr="007A7CCD">
              <w:rPr>
                <w:rStyle w:val="Collegamentoipertestuale"/>
                <w:noProof/>
              </w:rPr>
              <w:t>Prefazione</w:t>
            </w:r>
            <w:r w:rsidR="00BF24CE">
              <w:rPr>
                <w:noProof/>
                <w:webHidden/>
              </w:rPr>
              <w:tab/>
            </w:r>
            <w:r w:rsidR="00BF24CE">
              <w:rPr>
                <w:noProof/>
                <w:webHidden/>
              </w:rPr>
              <w:fldChar w:fldCharType="begin"/>
            </w:r>
            <w:r w:rsidR="00BF24CE">
              <w:rPr>
                <w:noProof/>
                <w:webHidden/>
              </w:rPr>
              <w:instrText xml:space="preserve"> PAGEREF _Toc193106848 \h </w:instrText>
            </w:r>
            <w:r w:rsidR="00BF24CE">
              <w:rPr>
                <w:noProof/>
                <w:webHidden/>
              </w:rPr>
            </w:r>
            <w:r w:rsidR="00BF24CE">
              <w:rPr>
                <w:noProof/>
                <w:webHidden/>
              </w:rPr>
              <w:fldChar w:fldCharType="separate"/>
            </w:r>
            <w:r w:rsidR="006A7596">
              <w:rPr>
                <w:noProof/>
                <w:webHidden/>
              </w:rPr>
              <w:t>4</w:t>
            </w:r>
            <w:r w:rsidR="00BF24CE">
              <w:rPr>
                <w:noProof/>
                <w:webHidden/>
              </w:rPr>
              <w:fldChar w:fldCharType="end"/>
            </w:r>
          </w:hyperlink>
        </w:p>
        <w:p w14:paraId="1E0AAF49" w14:textId="6B3804EB" w:rsidR="00BF24CE" w:rsidRDefault="00BF24CE">
          <w:pPr>
            <w:pStyle w:val="Sommario2"/>
            <w:rPr>
              <w:rFonts w:eastAsiaTheme="minorEastAsia"/>
              <w:noProof/>
              <w:sz w:val="24"/>
              <w:szCs w:val="24"/>
              <w:lang w:eastAsia="it-IT"/>
            </w:rPr>
          </w:pPr>
          <w:hyperlink w:anchor="_Toc193106849" w:history="1">
            <w:r w:rsidRPr="007A7CCD">
              <w:rPr>
                <w:rStyle w:val="Collegamentoipertestuale"/>
                <w:noProof/>
              </w:rPr>
              <w:t>Executive Summary</w:t>
            </w:r>
            <w:r>
              <w:rPr>
                <w:noProof/>
                <w:webHidden/>
              </w:rPr>
              <w:tab/>
            </w:r>
            <w:r>
              <w:rPr>
                <w:noProof/>
                <w:webHidden/>
              </w:rPr>
              <w:fldChar w:fldCharType="begin"/>
            </w:r>
            <w:r>
              <w:rPr>
                <w:noProof/>
                <w:webHidden/>
              </w:rPr>
              <w:instrText xml:space="preserve"> PAGEREF _Toc193106849 \h </w:instrText>
            </w:r>
            <w:r>
              <w:rPr>
                <w:noProof/>
                <w:webHidden/>
              </w:rPr>
            </w:r>
            <w:r>
              <w:rPr>
                <w:noProof/>
                <w:webHidden/>
              </w:rPr>
              <w:fldChar w:fldCharType="separate"/>
            </w:r>
            <w:r w:rsidR="006A7596">
              <w:rPr>
                <w:noProof/>
                <w:webHidden/>
              </w:rPr>
              <w:t>5</w:t>
            </w:r>
            <w:r>
              <w:rPr>
                <w:noProof/>
                <w:webHidden/>
              </w:rPr>
              <w:fldChar w:fldCharType="end"/>
            </w:r>
          </w:hyperlink>
        </w:p>
        <w:p w14:paraId="1AF3574B" w14:textId="26B7DB12" w:rsidR="00BF24CE" w:rsidRDefault="00BF24CE">
          <w:pPr>
            <w:pStyle w:val="Sommario3"/>
            <w:rPr>
              <w:rFonts w:eastAsiaTheme="minorEastAsia"/>
              <w:noProof/>
              <w:sz w:val="24"/>
              <w:szCs w:val="24"/>
              <w:lang w:eastAsia="it-IT"/>
            </w:rPr>
          </w:pPr>
          <w:hyperlink w:anchor="_Toc193106850" w:history="1">
            <w:r w:rsidRPr="007A7CCD">
              <w:rPr>
                <w:rStyle w:val="Collegamentoipertestuale"/>
                <w:noProof/>
              </w:rPr>
              <w:t>Il contesto internazionale</w:t>
            </w:r>
            <w:r>
              <w:rPr>
                <w:noProof/>
                <w:webHidden/>
              </w:rPr>
              <w:tab/>
            </w:r>
            <w:r>
              <w:rPr>
                <w:noProof/>
                <w:webHidden/>
              </w:rPr>
              <w:fldChar w:fldCharType="begin"/>
            </w:r>
            <w:r>
              <w:rPr>
                <w:noProof/>
                <w:webHidden/>
              </w:rPr>
              <w:instrText xml:space="preserve"> PAGEREF _Toc193106850 \h </w:instrText>
            </w:r>
            <w:r>
              <w:rPr>
                <w:noProof/>
                <w:webHidden/>
              </w:rPr>
            </w:r>
            <w:r>
              <w:rPr>
                <w:noProof/>
                <w:webHidden/>
              </w:rPr>
              <w:fldChar w:fldCharType="separate"/>
            </w:r>
            <w:r w:rsidR="006A7596">
              <w:rPr>
                <w:noProof/>
                <w:webHidden/>
              </w:rPr>
              <w:t>5</w:t>
            </w:r>
            <w:r>
              <w:rPr>
                <w:noProof/>
                <w:webHidden/>
              </w:rPr>
              <w:fldChar w:fldCharType="end"/>
            </w:r>
          </w:hyperlink>
        </w:p>
        <w:p w14:paraId="04688E93" w14:textId="41D3409D" w:rsidR="00BF24CE" w:rsidRDefault="00BF24CE">
          <w:pPr>
            <w:pStyle w:val="Sommario3"/>
            <w:rPr>
              <w:rFonts w:eastAsiaTheme="minorEastAsia"/>
              <w:noProof/>
              <w:sz w:val="24"/>
              <w:szCs w:val="24"/>
              <w:lang w:eastAsia="it-IT"/>
            </w:rPr>
          </w:pPr>
          <w:hyperlink w:anchor="_Toc193106851" w:history="1">
            <w:r w:rsidRPr="007A7CCD">
              <w:rPr>
                <w:rStyle w:val="Collegamentoipertestuale"/>
                <w:noProof/>
              </w:rPr>
              <w:t>Le aspettative e le strategie delle imprese</w:t>
            </w:r>
            <w:r>
              <w:rPr>
                <w:noProof/>
                <w:webHidden/>
              </w:rPr>
              <w:tab/>
            </w:r>
            <w:r>
              <w:rPr>
                <w:noProof/>
                <w:webHidden/>
              </w:rPr>
              <w:fldChar w:fldCharType="begin"/>
            </w:r>
            <w:r>
              <w:rPr>
                <w:noProof/>
                <w:webHidden/>
              </w:rPr>
              <w:instrText xml:space="preserve"> PAGEREF _Toc193106851 \h </w:instrText>
            </w:r>
            <w:r>
              <w:rPr>
                <w:noProof/>
                <w:webHidden/>
              </w:rPr>
            </w:r>
            <w:r>
              <w:rPr>
                <w:noProof/>
                <w:webHidden/>
              </w:rPr>
              <w:fldChar w:fldCharType="separate"/>
            </w:r>
            <w:r w:rsidR="006A7596">
              <w:rPr>
                <w:noProof/>
                <w:webHidden/>
              </w:rPr>
              <w:t>5</w:t>
            </w:r>
            <w:r>
              <w:rPr>
                <w:noProof/>
                <w:webHidden/>
              </w:rPr>
              <w:fldChar w:fldCharType="end"/>
            </w:r>
          </w:hyperlink>
        </w:p>
        <w:p w14:paraId="3A3244F7" w14:textId="453AE698" w:rsidR="00BF24CE" w:rsidRDefault="00BF24CE">
          <w:pPr>
            <w:pStyle w:val="Sommario3"/>
            <w:rPr>
              <w:rFonts w:eastAsiaTheme="minorEastAsia"/>
              <w:noProof/>
              <w:sz w:val="24"/>
              <w:szCs w:val="24"/>
              <w:lang w:eastAsia="it-IT"/>
            </w:rPr>
          </w:pPr>
          <w:hyperlink w:anchor="_Toc193106852" w:history="1">
            <w:r w:rsidRPr="007A7CCD">
              <w:rPr>
                <w:rStyle w:val="Collegamentoipertestuale"/>
                <w:noProof/>
              </w:rPr>
              <w:t>La crisi della Germania</w:t>
            </w:r>
            <w:r>
              <w:rPr>
                <w:noProof/>
                <w:webHidden/>
              </w:rPr>
              <w:tab/>
            </w:r>
            <w:r>
              <w:rPr>
                <w:noProof/>
                <w:webHidden/>
              </w:rPr>
              <w:fldChar w:fldCharType="begin"/>
            </w:r>
            <w:r>
              <w:rPr>
                <w:noProof/>
                <w:webHidden/>
              </w:rPr>
              <w:instrText xml:space="preserve"> PAGEREF _Toc193106852 \h </w:instrText>
            </w:r>
            <w:r>
              <w:rPr>
                <w:noProof/>
                <w:webHidden/>
              </w:rPr>
            </w:r>
            <w:r>
              <w:rPr>
                <w:noProof/>
                <w:webHidden/>
              </w:rPr>
              <w:fldChar w:fldCharType="separate"/>
            </w:r>
            <w:r w:rsidR="006A7596">
              <w:rPr>
                <w:noProof/>
                <w:webHidden/>
              </w:rPr>
              <w:t>6</w:t>
            </w:r>
            <w:r>
              <w:rPr>
                <w:noProof/>
                <w:webHidden/>
              </w:rPr>
              <w:fldChar w:fldCharType="end"/>
            </w:r>
          </w:hyperlink>
        </w:p>
        <w:p w14:paraId="358C8DF9" w14:textId="33FE4C96" w:rsidR="00BF24CE" w:rsidRDefault="00BF24CE">
          <w:pPr>
            <w:pStyle w:val="Sommario3"/>
            <w:rPr>
              <w:rFonts w:eastAsiaTheme="minorEastAsia"/>
              <w:noProof/>
              <w:sz w:val="24"/>
              <w:szCs w:val="24"/>
              <w:lang w:eastAsia="it-IT"/>
            </w:rPr>
          </w:pPr>
          <w:hyperlink w:anchor="_Toc193106853" w:history="1">
            <w:r w:rsidRPr="007A7CCD">
              <w:rPr>
                <w:rStyle w:val="Collegamentoipertestuale"/>
                <w:noProof/>
              </w:rPr>
              <w:t>La revisione delle reti di fornitura: regionalizzazione in atto</w:t>
            </w:r>
            <w:r>
              <w:rPr>
                <w:noProof/>
                <w:webHidden/>
              </w:rPr>
              <w:tab/>
            </w:r>
            <w:r>
              <w:rPr>
                <w:noProof/>
                <w:webHidden/>
              </w:rPr>
              <w:fldChar w:fldCharType="begin"/>
            </w:r>
            <w:r>
              <w:rPr>
                <w:noProof/>
                <w:webHidden/>
              </w:rPr>
              <w:instrText xml:space="preserve"> PAGEREF _Toc193106853 \h </w:instrText>
            </w:r>
            <w:r>
              <w:rPr>
                <w:noProof/>
                <w:webHidden/>
              </w:rPr>
            </w:r>
            <w:r>
              <w:rPr>
                <w:noProof/>
                <w:webHidden/>
              </w:rPr>
              <w:fldChar w:fldCharType="separate"/>
            </w:r>
            <w:r w:rsidR="006A7596">
              <w:rPr>
                <w:noProof/>
                <w:webHidden/>
              </w:rPr>
              <w:t>6</w:t>
            </w:r>
            <w:r>
              <w:rPr>
                <w:noProof/>
                <w:webHidden/>
              </w:rPr>
              <w:fldChar w:fldCharType="end"/>
            </w:r>
          </w:hyperlink>
        </w:p>
        <w:p w14:paraId="6C2F65EB" w14:textId="76F0E3CB" w:rsidR="00BF24CE" w:rsidRDefault="00BF24CE">
          <w:pPr>
            <w:pStyle w:val="Sommario3"/>
            <w:rPr>
              <w:rFonts w:eastAsiaTheme="minorEastAsia"/>
              <w:noProof/>
              <w:sz w:val="24"/>
              <w:szCs w:val="24"/>
              <w:lang w:eastAsia="it-IT"/>
            </w:rPr>
          </w:pPr>
          <w:hyperlink w:anchor="_Toc193106854" w:history="1">
            <w:r w:rsidRPr="007A7CCD">
              <w:rPr>
                <w:rStyle w:val="Collegamentoipertestuale"/>
                <w:noProof/>
              </w:rPr>
              <w:t>Le transizioni gemelle: l’impatto dell’IA e i nuovi servizi per le imprese</w:t>
            </w:r>
            <w:r>
              <w:rPr>
                <w:noProof/>
                <w:webHidden/>
              </w:rPr>
              <w:tab/>
            </w:r>
            <w:r>
              <w:rPr>
                <w:noProof/>
                <w:webHidden/>
              </w:rPr>
              <w:fldChar w:fldCharType="begin"/>
            </w:r>
            <w:r>
              <w:rPr>
                <w:noProof/>
                <w:webHidden/>
              </w:rPr>
              <w:instrText xml:space="preserve"> PAGEREF _Toc193106854 \h </w:instrText>
            </w:r>
            <w:r>
              <w:rPr>
                <w:noProof/>
                <w:webHidden/>
              </w:rPr>
            </w:r>
            <w:r>
              <w:rPr>
                <w:noProof/>
                <w:webHidden/>
              </w:rPr>
              <w:fldChar w:fldCharType="separate"/>
            </w:r>
            <w:r w:rsidR="006A7596">
              <w:rPr>
                <w:noProof/>
                <w:webHidden/>
              </w:rPr>
              <w:t>6</w:t>
            </w:r>
            <w:r>
              <w:rPr>
                <w:noProof/>
                <w:webHidden/>
              </w:rPr>
              <w:fldChar w:fldCharType="end"/>
            </w:r>
          </w:hyperlink>
        </w:p>
        <w:p w14:paraId="7165C7C1" w14:textId="03251AF1" w:rsidR="00BF24CE" w:rsidRDefault="00BF24CE">
          <w:pPr>
            <w:pStyle w:val="Sommario2"/>
            <w:rPr>
              <w:rFonts w:eastAsiaTheme="minorEastAsia"/>
              <w:noProof/>
              <w:sz w:val="24"/>
              <w:szCs w:val="24"/>
              <w:lang w:eastAsia="it-IT"/>
            </w:rPr>
          </w:pPr>
          <w:hyperlink w:anchor="_Toc193106855" w:history="1">
            <w:r w:rsidRPr="007A7CCD">
              <w:rPr>
                <w:rStyle w:val="Collegamentoipertestuale"/>
                <w:noProof/>
              </w:rPr>
              <w:t>Quadro generale</w:t>
            </w:r>
            <w:r>
              <w:rPr>
                <w:noProof/>
                <w:webHidden/>
              </w:rPr>
              <w:tab/>
            </w:r>
            <w:r>
              <w:rPr>
                <w:noProof/>
                <w:webHidden/>
              </w:rPr>
              <w:fldChar w:fldCharType="begin"/>
            </w:r>
            <w:r>
              <w:rPr>
                <w:noProof/>
                <w:webHidden/>
              </w:rPr>
              <w:instrText xml:space="preserve"> PAGEREF _Toc193106855 \h </w:instrText>
            </w:r>
            <w:r>
              <w:rPr>
                <w:noProof/>
                <w:webHidden/>
              </w:rPr>
            </w:r>
            <w:r>
              <w:rPr>
                <w:noProof/>
                <w:webHidden/>
              </w:rPr>
              <w:fldChar w:fldCharType="separate"/>
            </w:r>
            <w:r w:rsidR="006A7596">
              <w:rPr>
                <w:noProof/>
                <w:webHidden/>
              </w:rPr>
              <w:t>8</w:t>
            </w:r>
            <w:r>
              <w:rPr>
                <w:noProof/>
                <w:webHidden/>
              </w:rPr>
              <w:fldChar w:fldCharType="end"/>
            </w:r>
          </w:hyperlink>
        </w:p>
        <w:p w14:paraId="68AD19CB" w14:textId="7E960488" w:rsidR="00BF24CE" w:rsidRDefault="00BF24CE">
          <w:pPr>
            <w:pStyle w:val="Sommario2"/>
            <w:rPr>
              <w:rFonts w:eastAsiaTheme="minorEastAsia"/>
              <w:noProof/>
              <w:sz w:val="24"/>
              <w:szCs w:val="24"/>
              <w:lang w:eastAsia="it-IT"/>
            </w:rPr>
          </w:pPr>
          <w:hyperlink w:anchor="_Toc193106856" w:history="1">
            <w:r w:rsidRPr="007A7CCD">
              <w:rPr>
                <w:rStyle w:val="Collegamentoipertestuale"/>
                <w:noProof/>
              </w:rPr>
              <w:t>Introduzione all’indagine Osservatorio Export</w:t>
            </w:r>
            <w:r>
              <w:rPr>
                <w:noProof/>
                <w:webHidden/>
              </w:rPr>
              <w:tab/>
            </w:r>
            <w:r>
              <w:rPr>
                <w:noProof/>
                <w:webHidden/>
              </w:rPr>
              <w:fldChar w:fldCharType="begin"/>
            </w:r>
            <w:r>
              <w:rPr>
                <w:noProof/>
                <w:webHidden/>
              </w:rPr>
              <w:instrText xml:space="preserve"> PAGEREF _Toc193106856 \h </w:instrText>
            </w:r>
            <w:r>
              <w:rPr>
                <w:noProof/>
                <w:webHidden/>
              </w:rPr>
            </w:r>
            <w:r>
              <w:rPr>
                <w:noProof/>
                <w:webHidden/>
              </w:rPr>
              <w:fldChar w:fldCharType="separate"/>
            </w:r>
            <w:r w:rsidR="006A7596">
              <w:rPr>
                <w:noProof/>
                <w:webHidden/>
              </w:rPr>
              <w:t>11</w:t>
            </w:r>
            <w:r>
              <w:rPr>
                <w:noProof/>
                <w:webHidden/>
              </w:rPr>
              <w:fldChar w:fldCharType="end"/>
            </w:r>
          </w:hyperlink>
        </w:p>
        <w:p w14:paraId="53C36320" w14:textId="09DAE545" w:rsidR="00BF24CE" w:rsidRDefault="00BF24CE">
          <w:pPr>
            <w:pStyle w:val="Sommario2"/>
            <w:rPr>
              <w:rFonts w:eastAsiaTheme="minorEastAsia"/>
              <w:noProof/>
              <w:sz w:val="24"/>
              <w:szCs w:val="24"/>
              <w:lang w:eastAsia="it-IT"/>
            </w:rPr>
          </w:pPr>
          <w:hyperlink w:anchor="_Toc193106857" w:history="1">
            <w:r w:rsidRPr="007A7CCD">
              <w:rPr>
                <w:rStyle w:val="Collegamentoipertestuale"/>
                <w:noProof/>
              </w:rPr>
              <w:t>1. Le strategie di internazionalizzazione</w:t>
            </w:r>
            <w:r>
              <w:rPr>
                <w:noProof/>
                <w:webHidden/>
              </w:rPr>
              <w:tab/>
            </w:r>
            <w:r>
              <w:rPr>
                <w:noProof/>
                <w:webHidden/>
              </w:rPr>
              <w:fldChar w:fldCharType="begin"/>
            </w:r>
            <w:r>
              <w:rPr>
                <w:noProof/>
                <w:webHidden/>
              </w:rPr>
              <w:instrText xml:space="preserve"> PAGEREF _Toc193106857 \h </w:instrText>
            </w:r>
            <w:r>
              <w:rPr>
                <w:noProof/>
                <w:webHidden/>
              </w:rPr>
            </w:r>
            <w:r>
              <w:rPr>
                <w:noProof/>
                <w:webHidden/>
              </w:rPr>
              <w:fldChar w:fldCharType="separate"/>
            </w:r>
            <w:r w:rsidR="006A7596">
              <w:rPr>
                <w:noProof/>
                <w:webHidden/>
              </w:rPr>
              <w:t>13</w:t>
            </w:r>
            <w:r>
              <w:rPr>
                <w:noProof/>
                <w:webHidden/>
              </w:rPr>
              <w:fldChar w:fldCharType="end"/>
            </w:r>
          </w:hyperlink>
        </w:p>
        <w:p w14:paraId="09BEAF6D" w14:textId="10E2758F" w:rsidR="00BF24CE" w:rsidRDefault="00BF24CE">
          <w:pPr>
            <w:pStyle w:val="Sommario2"/>
            <w:rPr>
              <w:rFonts w:eastAsiaTheme="minorEastAsia"/>
              <w:noProof/>
              <w:sz w:val="24"/>
              <w:szCs w:val="24"/>
              <w:lang w:eastAsia="it-IT"/>
            </w:rPr>
          </w:pPr>
          <w:hyperlink w:anchor="_Toc193106858" w:history="1">
            <w:r w:rsidRPr="007A7CCD">
              <w:rPr>
                <w:rStyle w:val="Collegamentoipertestuale"/>
                <w:noProof/>
              </w:rPr>
              <w:t>2. Uno sguardo al futuro</w:t>
            </w:r>
            <w:r>
              <w:rPr>
                <w:noProof/>
                <w:webHidden/>
              </w:rPr>
              <w:tab/>
            </w:r>
            <w:r>
              <w:rPr>
                <w:noProof/>
                <w:webHidden/>
              </w:rPr>
              <w:fldChar w:fldCharType="begin"/>
            </w:r>
            <w:r>
              <w:rPr>
                <w:noProof/>
                <w:webHidden/>
              </w:rPr>
              <w:instrText xml:space="preserve"> PAGEREF _Toc193106858 \h </w:instrText>
            </w:r>
            <w:r>
              <w:rPr>
                <w:noProof/>
                <w:webHidden/>
              </w:rPr>
            </w:r>
            <w:r>
              <w:rPr>
                <w:noProof/>
                <w:webHidden/>
              </w:rPr>
              <w:fldChar w:fldCharType="separate"/>
            </w:r>
            <w:r w:rsidR="006A7596">
              <w:rPr>
                <w:noProof/>
                <w:webHidden/>
              </w:rPr>
              <w:t>16</w:t>
            </w:r>
            <w:r>
              <w:rPr>
                <w:noProof/>
                <w:webHidden/>
              </w:rPr>
              <w:fldChar w:fldCharType="end"/>
            </w:r>
          </w:hyperlink>
        </w:p>
        <w:p w14:paraId="735C922E" w14:textId="46610CB5" w:rsidR="00BF24CE" w:rsidRDefault="00BF24CE">
          <w:pPr>
            <w:pStyle w:val="Sommario2"/>
            <w:rPr>
              <w:rFonts w:eastAsiaTheme="minorEastAsia"/>
              <w:noProof/>
              <w:sz w:val="24"/>
              <w:szCs w:val="24"/>
              <w:lang w:eastAsia="it-IT"/>
            </w:rPr>
          </w:pPr>
          <w:hyperlink w:anchor="_Toc193106859" w:history="1">
            <w:r w:rsidRPr="007A7CCD">
              <w:rPr>
                <w:rStyle w:val="Collegamentoipertestuale"/>
                <w:noProof/>
              </w:rPr>
              <w:t>3. La crisi della Germania</w:t>
            </w:r>
            <w:r>
              <w:rPr>
                <w:noProof/>
                <w:webHidden/>
              </w:rPr>
              <w:tab/>
            </w:r>
            <w:r>
              <w:rPr>
                <w:noProof/>
                <w:webHidden/>
              </w:rPr>
              <w:fldChar w:fldCharType="begin"/>
            </w:r>
            <w:r>
              <w:rPr>
                <w:noProof/>
                <w:webHidden/>
              </w:rPr>
              <w:instrText xml:space="preserve"> PAGEREF _Toc193106859 \h </w:instrText>
            </w:r>
            <w:r>
              <w:rPr>
                <w:noProof/>
                <w:webHidden/>
              </w:rPr>
            </w:r>
            <w:r>
              <w:rPr>
                <w:noProof/>
                <w:webHidden/>
              </w:rPr>
              <w:fldChar w:fldCharType="separate"/>
            </w:r>
            <w:r w:rsidR="006A7596">
              <w:rPr>
                <w:noProof/>
                <w:webHidden/>
              </w:rPr>
              <w:t>22</w:t>
            </w:r>
            <w:r>
              <w:rPr>
                <w:noProof/>
                <w:webHidden/>
              </w:rPr>
              <w:fldChar w:fldCharType="end"/>
            </w:r>
          </w:hyperlink>
        </w:p>
        <w:p w14:paraId="4160E7A5" w14:textId="43265FF8" w:rsidR="00BF24CE" w:rsidRDefault="00BF24CE">
          <w:pPr>
            <w:pStyle w:val="Sommario2"/>
            <w:rPr>
              <w:rFonts w:eastAsiaTheme="minorEastAsia"/>
              <w:noProof/>
              <w:sz w:val="24"/>
              <w:szCs w:val="24"/>
              <w:lang w:eastAsia="it-IT"/>
            </w:rPr>
          </w:pPr>
          <w:hyperlink w:anchor="_Toc193106860" w:history="1">
            <w:r w:rsidRPr="007A7CCD">
              <w:rPr>
                <w:rStyle w:val="Collegamentoipertestuale"/>
                <w:noProof/>
              </w:rPr>
              <w:t>4. Le reti di fornitura</w:t>
            </w:r>
            <w:r>
              <w:rPr>
                <w:noProof/>
                <w:webHidden/>
              </w:rPr>
              <w:tab/>
            </w:r>
            <w:r>
              <w:rPr>
                <w:noProof/>
                <w:webHidden/>
              </w:rPr>
              <w:fldChar w:fldCharType="begin"/>
            </w:r>
            <w:r>
              <w:rPr>
                <w:noProof/>
                <w:webHidden/>
              </w:rPr>
              <w:instrText xml:space="preserve"> PAGEREF _Toc193106860 \h </w:instrText>
            </w:r>
            <w:r>
              <w:rPr>
                <w:noProof/>
                <w:webHidden/>
              </w:rPr>
            </w:r>
            <w:r>
              <w:rPr>
                <w:noProof/>
                <w:webHidden/>
              </w:rPr>
              <w:fldChar w:fldCharType="separate"/>
            </w:r>
            <w:r w:rsidR="006A7596">
              <w:rPr>
                <w:noProof/>
                <w:webHidden/>
              </w:rPr>
              <w:t>25</w:t>
            </w:r>
            <w:r>
              <w:rPr>
                <w:noProof/>
                <w:webHidden/>
              </w:rPr>
              <w:fldChar w:fldCharType="end"/>
            </w:r>
          </w:hyperlink>
        </w:p>
        <w:p w14:paraId="3DA38560" w14:textId="5747EE0A" w:rsidR="00BF24CE" w:rsidRDefault="00BF24CE">
          <w:pPr>
            <w:pStyle w:val="Sommario2"/>
            <w:rPr>
              <w:rFonts w:eastAsiaTheme="minorEastAsia"/>
              <w:noProof/>
              <w:sz w:val="24"/>
              <w:szCs w:val="24"/>
              <w:lang w:eastAsia="it-IT"/>
            </w:rPr>
          </w:pPr>
          <w:hyperlink w:anchor="_Toc193106861" w:history="1">
            <w:r w:rsidRPr="007A7CCD">
              <w:rPr>
                <w:rStyle w:val="Collegamentoipertestuale"/>
                <w:noProof/>
              </w:rPr>
              <w:t>5. Digitalizzazione, sostenibilità ambientale e internazionalizzazione</w:t>
            </w:r>
            <w:r>
              <w:rPr>
                <w:noProof/>
                <w:webHidden/>
              </w:rPr>
              <w:tab/>
            </w:r>
            <w:r>
              <w:rPr>
                <w:noProof/>
                <w:webHidden/>
              </w:rPr>
              <w:fldChar w:fldCharType="begin"/>
            </w:r>
            <w:r>
              <w:rPr>
                <w:noProof/>
                <w:webHidden/>
              </w:rPr>
              <w:instrText xml:space="preserve"> PAGEREF _Toc193106861 \h </w:instrText>
            </w:r>
            <w:r>
              <w:rPr>
                <w:noProof/>
                <w:webHidden/>
              </w:rPr>
            </w:r>
            <w:r>
              <w:rPr>
                <w:noProof/>
                <w:webHidden/>
              </w:rPr>
              <w:fldChar w:fldCharType="separate"/>
            </w:r>
            <w:r w:rsidR="006A7596">
              <w:rPr>
                <w:noProof/>
                <w:webHidden/>
              </w:rPr>
              <w:t>27</w:t>
            </w:r>
            <w:r>
              <w:rPr>
                <w:noProof/>
                <w:webHidden/>
              </w:rPr>
              <w:fldChar w:fldCharType="end"/>
            </w:r>
          </w:hyperlink>
        </w:p>
        <w:p w14:paraId="454084F3" w14:textId="446D8A1F" w:rsidR="00BF24CE" w:rsidRDefault="00BF24CE">
          <w:pPr>
            <w:pStyle w:val="Sommario3"/>
            <w:rPr>
              <w:rFonts w:eastAsiaTheme="minorEastAsia"/>
              <w:noProof/>
              <w:sz w:val="24"/>
              <w:szCs w:val="24"/>
              <w:lang w:eastAsia="it-IT"/>
            </w:rPr>
          </w:pPr>
          <w:hyperlink w:anchor="_Toc193106862" w:history="1">
            <w:r w:rsidRPr="007A7CCD">
              <w:rPr>
                <w:rStyle w:val="Collegamentoipertestuale"/>
                <w:noProof/>
              </w:rPr>
              <w:t>Approfondimento – L’IA e il commercio internazionale</w:t>
            </w:r>
            <w:r>
              <w:rPr>
                <w:noProof/>
                <w:webHidden/>
              </w:rPr>
              <w:tab/>
            </w:r>
            <w:r>
              <w:rPr>
                <w:noProof/>
                <w:webHidden/>
              </w:rPr>
              <w:fldChar w:fldCharType="begin"/>
            </w:r>
            <w:r>
              <w:rPr>
                <w:noProof/>
                <w:webHidden/>
              </w:rPr>
              <w:instrText xml:space="preserve"> PAGEREF _Toc193106862 \h </w:instrText>
            </w:r>
            <w:r>
              <w:rPr>
                <w:noProof/>
                <w:webHidden/>
              </w:rPr>
            </w:r>
            <w:r>
              <w:rPr>
                <w:noProof/>
                <w:webHidden/>
              </w:rPr>
              <w:fldChar w:fldCharType="separate"/>
            </w:r>
            <w:r w:rsidR="006A7596">
              <w:rPr>
                <w:noProof/>
                <w:webHidden/>
              </w:rPr>
              <w:t>32</w:t>
            </w:r>
            <w:r>
              <w:rPr>
                <w:noProof/>
                <w:webHidden/>
              </w:rPr>
              <w:fldChar w:fldCharType="end"/>
            </w:r>
          </w:hyperlink>
        </w:p>
        <w:p w14:paraId="57392648" w14:textId="17883B5D" w:rsidR="00BF24CE" w:rsidRDefault="00BF24CE">
          <w:pPr>
            <w:pStyle w:val="Sommario2"/>
            <w:rPr>
              <w:rFonts w:eastAsiaTheme="minorEastAsia"/>
              <w:noProof/>
              <w:sz w:val="24"/>
              <w:szCs w:val="24"/>
              <w:lang w:eastAsia="it-IT"/>
            </w:rPr>
          </w:pPr>
          <w:hyperlink w:anchor="_Toc193106863" w:history="1">
            <w:r w:rsidRPr="007A7CCD">
              <w:rPr>
                <w:rStyle w:val="Collegamentoipertestuale"/>
                <w:noProof/>
              </w:rPr>
              <w:t>6. Servizi per l’internazionalizzazione</w:t>
            </w:r>
            <w:r>
              <w:rPr>
                <w:noProof/>
                <w:webHidden/>
              </w:rPr>
              <w:tab/>
            </w:r>
            <w:r>
              <w:rPr>
                <w:noProof/>
                <w:webHidden/>
              </w:rPr>
              <w:fldChar w:fldCharType="begin"/>
            </w:r>
            <w:r>
              <w:rPr>
                <w:noProof/>
                <w:webHidden/>
              </w:rPr>
              <w:instrText xml:space="preserve"> PAGEREF _Toc193106863 \h </w:instrText>
            </w:r>
            <w:r>
              <w:rPr>
                <w:noProof/>
                <w:webHidden/>
              </w:rPr>
            </w:r>
            <w:r>
              <w:rPr>
                <w:noProof/>
                <w:webHidden/>
              </w:rPr>
              <w:fldChar w:fldCharType="separate"/>
            </w:r>
            <w:r w:rsidR="006A7596">
              <w:rPr>
                <w:noProof/>
                <w:webHidden/>
              </w:rPr>
              <w:t>34</w:t>
            </w:r>
            <w:r>
              <w:rPr>
                <w:noProof/>
                <w:webHidden/>
              </w:rPr>
              <w:fldChar w:fldCharType="end"/>
            </w:r>
          </w:hyperlink>
        </w:p>
        <w:p w14:paraId="467E875A" w14:textId="7A8125C0" w:rsidR="00BF24CE" w:rsidRDefault="00BF24CE">
          <w:pPr>
            <w:pStyle w:val="Sommario2"/>
            <w:rPr>
              <w:rFonts w:eastAsiaTheme="minorEastAsia"/>
              <w:noProof/>
              <w:sz w:val="24"/>
              <w:szCs w:val="24"/>
              <w:lang w:eastAsia="it-IT"/>
            </w:rPr>
          </w:pPr>
          <w:hyperlink w:anchor="_Toc193106864" w:history="1">
            <w:r w:rsidRPr="007A7CCD">
              <w:rPr>
                <w:rStyle w:val="Collegamentoipertestuale"/>
                <w:noProof/>
              </w:rPr>
              <w:t>Nota metodologica</w:t>
            </w:r>
            <w:r>
              <w:rPr>
                <w:noProof/>
                <w:webHidden/>
              </w:rPr>
              <w:tab/>
            </w:r>
            <w:r>
              <w:rPr>
                <w:noProof/>
                <w:webHidden/>
              </w:rPr>
              <w:fldChar w:fldCharType="begin"/>
            </w:r>
            <w:r>
              <w:rPr>
                <w:noProof/>
                <w:webHidden/>
              </w:rPr>
              <w:instrText xml:space="preserve"> PAGEREF _Toc193106864 \h </w:instrText>
            </w:r>
            <w:r>
              <w:rPr>
                <w:noProof/>
                <w:webHidden/>
              </w:rPr>
            </w:r>
            <w:r>
              <w:rPr>
                <w:noProof/>
                <w:webHidden/>
              </w:rPr>
              <w:fldChar w:fldCharType="separate"/>
            </w:r>
            <w:r w:rsidR="006A7596">
              <w:rPr>
                <w:noProof/>
                <w:webHidden/>
              </w:rPr>
              <w:t>36</w:t>
            </w:r>
            <w:r>
              <w:rPr>
                <w:noProof/>
                <w:webHidden/>
              </w:rPr>
              <w:fldChar w:fldCharType="end"/>
            </w:r>
          </w:hyperlink>
        </w:p>
        <w:p w14:paraId="7F1B5072" w14:textId="4E058F63" w:rsidR="00BF24CE" w:rsidRDefault="00BF24CE">
          <w:pPr>
            <w:pStyle w:val="Sommario2"/>
            <w:rPr>
              <w:rFonts w:eastAsiaTheme="minorEastAsia"/>
              <w:noProof/>
              <w:sz w:val="24"/>
              <w:szCs w:val="24"/>
              <w:lang w:eastAsia="it-IT"/>
            </w:rPr>
          </w:pPr>
          <w:hyperlink w:anchor="_Toc193106865" w:history="1">
            <w:r w:rsidRPr="007A7CCD">
              <w:rPr>
                <w:rStyle w:val="Collegamentoipertestuale"/>
                <w:noProof/>
                <w:lang w:val="en-GB"/>
              </w:rPr>
              <w:t>Bibliografia</w:t>
            </w:r>
            <w:r>
              <w:rPr>
                <w:noProof/>
                <w:webHidden/>
              </w:rPr>
              <w:tab/>
            </w:r>
            <w:r>
              <w:rPr>
                <w:noProof/>
                <w:webHidden/>
              </w:rPr>
              <w:fldChar w:fldCharType="begin"/>
            </w:r>
            <w:r>
              <w:rPr>
                <w:noProof/>
                <w:webHidden/>
              </w:rPr>
              <w:instrText xml:space="preserve"> PAGEREF _Toc193106865 \h </w:instrText>
            </w:r>
            <w:r>
              <w:rPr>
                <w:noProof/>
                <w:webHidden/>
              </w:rPr>
            </w:r>
            <w:r>
              <w:rPr>
                <w:noProof/>
                <w:webHidden/>
              </w:rPr>
              <w:fldChar w:fldCharType="separate"/>
            </w:r>
            <w:r w:rsidR="006A7596">
              <w:rPr>
                <w:noProof/>
                <w:webHidden/>
              </w:rPr>
              <w:t>38</w:t>
            </w:r>
            <w:r>
              <w:rPr>
                <w:noProof/>
                <w:webHidden/>
              </w:rPr>
              <w:fldChar w:fldCharType="end"/>
            </w:r>
          </w:hyperlink>
        </w:p>
        <w:p w14:paraId="5E70D683" w14:textId="55EA33ED" w:rsidR="002940CC" w:rsidRPr="00B47608" w:rsidRDefault="002940CC" w:rsidP="00ED2A57">
          <w:pPr>
            <w:spacing w:after="0"/>
          </w:pPr>
          <w:r w:rsidRPr="00B47608">
            <w:rPr>
              <w:b/>
              <w:bCs/>
            </w:rPr>
            <w:fldChar w:fldCharType="end"/>
          </w:r>
        </w:p>
      </w:sdtContent>
    </w:sdt>
    <w:p w14:paraId="7FD41940" w14:textId="77777777" w:rsidR="0053137D" w:rsidRPr="00B47608" w:rsidRDefault="0053137D" w:rsidP="00ED2A57">
      <w:pPr>
        <w:spacing w:after="0"/>
      </w:pPr>
    </w:p>
    <w:p w14:paraId="7454F6BD" w14:textId="77777777" w:rsidR="008A3A8F" w:rsidRPr="00B47608" w:rsidRDefault="008A3A8F" w:rsidP="00ED2A57">
      <w:pPr>
        <w:spacing w:after="0"/>
      </w:pPr>
    </w:p>
    <w:p w14:paraId="360ECA14" w14:textId="77777777" w:rsidR="008A3A8F" w:rsidRPr="00B47608" w:rsidRDefault="008A3A8F" w:rsidP="00ED2A57">
      <w:pPr>
        <w:spacing w:after="0"/>
      </w:pPr>
    </w:p>
    <w:p w14:paraId="58DEF97C" w14:textId="77777777" w:rsidR="008A3A8F" w:rsidRPr="00B47608" w:rsidRDefault="008A3A8F" w:rsidP="00ED2A57">
      <w:pPr>
        <w:spacing w:after="0"/>
      </w:pPr>
    </w:p>
    <w:p w14:paraId="570BE2EB" w14:textId="77777777" w:rsidR="00076F78" w:rsidRPr="00B47608" w:rsidRDefault="00076F78" w:rsidP="00ED2A57">
      <w:pPr>
        <w:spacing w:after="0"/>
        <w:rPr>
          <w:rFonts w:eastAsiaTheme="majorEastAsia" w:cstheme="majorBidi"/>
          <w:color w:val="0F4761" w:themeColor="accent1" w:themeShade="BF"/>
          <w:sz w:val="32"/>
          <w:szCs w:val="32"/>
        </w:rPr>
      </w:pPr>
      <w:r w:rsidRPr="00B47608">
        <w:br w:type="page"/>
      </w:r>
    </w:p>
    <w:p w14:paraId="752A78DF" w14:textId="77777777" w:rsidR="00343618" w:rsidRDefault="00343618" w:rsidP="00343618">
      <w:pPr>
        <w:pStyle w:val="Titolo2"/>
      </w:pPr>
      <w:bookmarkStart w:id="0" w:name="_Toc157430694"/>
      <w:bookmarkStart w:id="1" w:name="_Toc193106848"/>
      <w:r>
        <w:lastRenderedPageBreak/>
        <w:t>Prefazi</w:t>
      </w:r>
      <w:r w:rsidRPr="00367973">
        <w:rPr>
          <w:color w:val="156082" w:themeColor="accent1"/>
        </w:rPr>
        <w:t>on</w:t>
      </w:r>
      <w:r>
        <w:t>e</w:t>
      </w:r>
      <w:bookmarkEnd w:id="0"/>
      <w:bookmarkEnd w:id="1"/>
    </w:p>
    <w:p w14:paraId="796BFCC4" w14:textId="77777777" w:rsidR="00343618" w:rsidRDefault="00343618" w:rsidP="00343618">
      <w:pPr>
        <w:rPr>
          <w:i/>
          <w:iCs/>
        </w:rPr>
      </w:pPr>
    </w:p>
    <w:p w14:paraId="6887B256" w14:textId="77777777" w:rsidR="00715D53" w:rsidRPr="00715D53" w:rsidRDefault="00715D53" w:rsidP="00715D53">
      <w:pPr>
        <w:spacing w:line="360" w:lineRule="auto"/>
        <w:jc w:val="both"/>
        <w:rPr>
          <w:i/>
          <w:iCs/>
        </w:rPr>
      </w:pPr>
      <w:r w:rsidRPr="00715D53">
        <w:rPr>
          <w:i/>
          <w:iCs/>
        </w:rPr>
        <w:t xml:space="preserve">Come Consigliere con delega agli Affari Internazionali di Confindustria Veneto Est, ho il privilegio di rappresentare una comunità di aziende che ogni giorno affrontano con determinazione le sfide dell’internazionalizzazione. </w:t>
      </w:r>
    </w:p>
    <w:p w14:paraId="38D17731" w14:textId="77777777" w:rsidR="00715D53" w:rsidRPr="00715D53" w:rsidRDefault="00715D53" w:rsidP="00715D53">
      <w:pPr>
        <w:spacing w:line="360" w:lineRule="auto"/>
        <w:jc w:val="both"/>
        <w:rPr>
          <w:i/>
          <w:iCs/>
        </w:rPr>
      </w:pPr>
      <w:r w:rsidRPr="00715D53">
        <w:rPr>
          <w:i/>
          <w:iCs/>
        </w:rPr>
        <w:t xml:space="preserve">In uno scenario in costante evoluzione, caratterizzato da tensioni geopolitiche e protezionismo intrecciate a trasformazioni economiche, digitali e ambientali, le nostre imprese devono sapersi adattare, innovare e cogliere le opportunità. </w:t>
      </w:r>
    </w:p>
    <w:p w14:paraId="56D6667F" w14:textId="77777777" w:rsidR="00715D53" w:rsidRPr="00715D53" w:rsidRDefault="00715D53" w:rsidP="00715D53">
      <w:pPr>
        <w:spacing w:line="360" w:lineRule="auto"/>
        <w:jc w:val="both"/>
        <w:rPr>
          <w:i/>
          <w:iCs/>
        </w:rPr>
      </w:pPr>
      <w:r w:rsidRPr="00715D53">
        <w:rPr>
          <w:i/>
          <w:iCs/>
        </w:rPr>
        <w:t>Ci troviamo di fronte a un nuovo equilibrio globale, quello dell’interdipendenza selettiva, che richiede la capacità di selezionare mercati e partner strategici, combinando vantaggi competitivi con minori rischi e un miglior allineamento alle esigenze del proprio business. Comprendere queste dinamiche è essenziale per garantire la competitività e la crescita del nostro sistema imprenditoriale.</w:t>
      </w:r>
    </w:p>
    <w:p w14:paraId="7A26EBDA" w14:textId="77777777" w:rsidR="00715D53" w:rsidRPr="00715D53" w:rsidRDefault="00715D53" w:rsidP="00715D53">
      <w:pPr>
        <w:spacing w:line="360" w:lineRule="auto"/>
        <w:jc w:val="both"/>
        <w:rPr>
          <w:i/>
          <w:iCs/>
        </w:rPr>
      </w:pPr>
      <w:r w:rsidRPr="00715D53">
        <w:rPr>
          <w:i/>
          <w:iCs/>
        </w:rPr>
        <w:t>In questo contesto, l’indagine 2024 dell’Osservatorio Export rappresenta uno strumento di fondamentale importanza. Grazie alla collaborazione con Fondazione Nord Est e SACE, questa analisi offre alle nostre imprese una bussola strategica per orientarsi tra le incertezze dei mercati tradizionali e le opportunità emergenti nei nuovi scenari globali. Lo studio evidenzia come la diversificazione dei mercati, l’innovazione tecnologica e la sostenibilità siano leve cruciali per il successo dell’export.</w:t>
      </w:r>
    </w:p>
    <w:p w14:paraId="4233029B" w14:textId="77777777" w:rsidR="00715D53" w:rsidRPr="00715D53" w:rsidRDefault="00715D53" w:rsidP="00715D53">
      <w:pPr>
        <w:spacing w:line="360" w:lineRule="auto"/>
        <w:jc w:val="both"/>
        <w:rPr>
          <w:i/>
          <w:iCs/>
        </w:rPr>
      </w:pPr>
      <w:r w:rsidRPr="00715D53">
        <w:rPr>
          <w:i/>
          <w:iCs/>
        </w:rPr>
        <w:t>In quest’ottica, l’Osservatorio Export 2024 si propone anche come un invito alla riflessione e all’azione: il mio augurio è che questa edizione possa stimolare nuove idee e fornire strumenti operativi per affrontare con successo e visione strategica le sfide, ma soprattutto le opportunità che il commercio internazionale ci presenta.</w:t>
      </w:r>
    </w:p>
    <w:p w14:paraId="192841B7" w14:textId="69D39973" w:rsidR="0060113E" w:rsidRDefault="00BF63FD" w:rsidP="00343618">
      <w:pPr>
        <w:spacing w:line="360" w:lineRule="auto"/>
        <w:rPr>
          <w:i/>
          <w:iCs/>
        </w:rPr>
      </w:pPr>
      <w:r>
        <w:rPr>
          <w:i/>
          <w:iCs/>
          <w:noProof/>
        </w:rPr>
        <w:drawing>
          <wp:anchor distT="0" distB="0" distL="114300" distR="114300" simplePos="0" relativeHeight="251658244" behindDoc="0" locked="0" layoutInCell="1" allowOverlap="1" wp14:anchorId="7CE49DDB" wp14:editId="7F1C511F">
            <wp:simplePos x="0" y="0"/>
            <wp:positionH relativeFrom="column">
              <wp:posOffset>-201930</wp:posOffset>
            </wp:positionH>
            <wp:positionV relativeFrom="paragraph">
              <wp:posOffset>175895</wp:posOffset>
            </wp:positionV>
            <wp:extent cx="2316175" cy="604520"/>
            <wp:effectExtent l="0" t="0" r="0" b="0"/>
            <wp:wrapNone/>
            <wp:docPr id="11049733" name="Immagine 1" descr="Immagine che contiene nero, Caratt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9733" name="Immagine 1" descr="Immagine che contiene nero, Carattere&#10;&#10;Il contenuto generato dall'IA potrebbe non essere corretto."/>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16175" cy="604520"/>
                    </a:xfrm>
                    <a:prstGeom prst="rect">
                      <a:avLst/>
                    </a:prstGeom>
                  </pic:spPr>
                </pic:pic>
              </a:graphicData>
            </a:graphic>
            <wp14:sizeRelH relativeFrom="margin">
              <wp14:pctWidth>0</wp14:pctWidth>
            </wp14:sizeRelH>
            <wp14:sizeRelV relativeFrom="margin">
              <wp14:pctHeight>0</wp14:pctHeight>
            </wp14:sizeRelV>
          </wp:anchor>
        </w:drawing>
      </w:r>
    </w:p>
    <w:p w14:paraId="45ECEE67" w14:textId="3CE83F12" w:rsidR="00BF63FD" w:rsidRDefault="00BF63FD" w:rsidP="00343618">
      <w:pPr>
        <w:spacing w:line="360" w:lineRule="auto"/>
        <w:rPr>
          <w:i/>
          <w:iCs/>
        </w:rPr>
      </w:pPr>
    </w:p>
    <w:p w14:paraId="4BC04C59" w14:textId="0787E3C6" w:rsidR="00343618" w:rsidRPr="00EF376F" w:rsidRDefault="00EF284F" w:rsidP="00343618">
      <w:pPr>
        <w:spacing w:line="360" w:lineRule="auto"/>
        <w:rPr>
          <w:i/>
          <w:iCs/>
        </w:rPr>
      </w:pPr>
      <w:r>
        <w:rPr>
          <w:i/>
          <w:iCs/>
        </w:rPr>
        <w:t>Silvia Moretto</w:t>
      </w:r>
    </w:p>
    <w:p w14:paraId="2B3DDA42" w14:textId="27725A13" w:rsidR="00343618" w:rsidRPr="00EF376F" w:rsidRDefault="00343618" w:rsidP="00343618">
      <w:pPr>
        <w:spacing w:line="360" w:lineRule="auto"/>
        <w:rPr>
          <w:i/>
          <w:iCs/>
        </w:rPr>
      </w:pPr>
      <w:r w:rsidRPr="00EF376F">
        <w:rPr>
          <w:i/>
          <w:iCs/>
        </w:rPr>
        <w:t xml:space="preserve">Consigliere con delega </w:t>
      </w:r>
      <w:r w:rsidR="00EF284F">
        <w:rPr>
          <w:i/>
          <w:iCs/>
        </w:rPr>
        <w:t>agli Affari Internazionali</w:t>
      </w:r>
    </w:p>
    <w:p w14:paraId="0BF18E6A" w14:textId="77777777" w:rsidR="00304D50" w:rsidRDefault="00304D50">
      <w:pPr>
        <w:rPr>
          <w:rFonts w:eastAsiaTheme="majorEastAsia" w:cstheme="majorBidi"/>
          <w:color w:val="0F4761" w:themeColor="accent1" w:themeShade="BF"/>
          <w:sz w:val="32"/>
          <w:szCs w:val="32"/>
        </w:rPr>
      </w:pPr>
      <w:r>
        <w:br w:type="page"/>
      </w:r>
    </w:p>
    <w:p w14:paraId="5801FA80" w14:textId="411E1F72" w:rsidR="00862420" w:rsidRPr="00B47608" w:rsidRDefault="00862420" w:rsidP="00304D50">
      <w:pPr>
        <w:pStyle w:val="Titolo2"/>
        <w:spacing w:before="0"/>
        <w:rPr>
          <w:rFonts w:asciiTheme="minorHAnsi" w:hAnsiTheme="minorHAnsi"/>
        </w:rPr>
      </w:pPr>
      <w:bookmarkStart w:id="2" w:name="_Toc193106849"/>
      <w:r w:rsidRPr="00B47608">
        <w:rPr>
          <w:rFonts w:asciiTheme="minorHAnsi" w:hAnsiTheme="minorHAnsi"/>
        </w:rPr>
        <w:lastRenderedPageBreak/>
        <w:t xml:space="preserve">Executive </w:t>
      </w:r>
      <w:proofErr w:type="spellStart"/>
      <w:r w:rsidRPr="00B47608">
        <w:rPr>
          <w:rFonts w:asciiTheme="minorHAnsi" w:hAnsiTheme="minorHAnsi"/>
        </w:rPr>
        <w:t>Summary</w:t>
      </w:r>
      <w:bookmarkEnd w:id="2"/>
      <w:proofErr w:type="spellEnd"/>
    </w:p>
    <w:p w14:paraId="11F875D4" w14:textId="264380AC" w:rsidR="00FE4F17" w:rsidRPr="00B47608" w:rsidRDefault="00FE4F17" w:rsidP="00FE4F17">
      <w:pPr>
        <w:pStyle w:val="Titolo3"/>
      </w:pPr>
      <w:bookmarkStart w:id="3" w:name="_Toc193106850"/>
      <w:r w:rsidRPr="00B47608">
        <w:t>Il contesto</w:t>
      </w:r>
      <w:r w:rsidR="00921FA5" w:rsidRPr="00B47608">
        <w:t xml:space="preserve"> internazionale</w:t>
      </w:r>
      <w:bookmarkEnd w:id="3"/>
    </w:p>
    <w:p w14:paraId="1D27CB6A" w14:textId="07DE6027" w:rsidR="003C003A" w:rsidRPr="00B47608" w:rsidRDefault="00650C8D" w:rsidP="00D155B6">
      <w:pPr>
        <w:pStyle w:val="Paragrafoelenco"/>
        <w:numPr>
          <w:ilvl w:val="0"/>
          <w:numId w:val="3"/>
        </w:numPr>
        <w:ind w:left="567" w:right="140" w:hanging="425"/>
        <w:jc w:val="both"/>
      </w:pPr>
      <w:r w:rsidRPr="00B47608">
        <w:t xml:space="preserve">Nel 2023, le esportazioni del Veneto hanno registrato un leggero calo (-0,7%). Questa tendenza negativa è proseguita </w:t>
      </w:r>
      <w:r w:rsidR="003C003A" w:rsidRPr="00B47608">
        <w:t>nel</w:t>
      </w:r>
      <w:r w:rsidRPr="00B47608">
        <w:t xml:space="preserve"> 2024, con un ulteriore calo complessivo del </w:t>
      </w:r>
      <w:r w:rsidR="003C003A" w:rsidRPr="00B47608">
        <w:t>1</w:t>
      </w:r>
      <w:r w:rsidRPr="00B47608">
        <w:t>,</w:t>
      </w:r>
      <w:r w:rsidR="003C003A" w:rsidRPr="00B47608">
        <w:t>8</w:t>
      </w:r>
      <w:r w:rsidRPr="00B47608">
        <w:t>% e diminuzioni generalizzate a livello provinciale</w:t>
      </w:r>
      <w:r w:rsidR="00E87F25" w:rsidRPr="00B47608">
        <w:t xml:space="preserve">: </w:t>
      </w:r>
      <w:r w:rsidR="003C003A" w:rsidRPr="00B47608">
        <w:t>-0,4% il dato di Padova, -2% Rovigo, arretrano anche Treviso (-1,7%) e Venezia (-9%).</w:t>
      </w:r>
    </w:p>
    <w:p w14:paraId="51101CC8" w14:textId="0A651400" w:rsidR="00650C8D" w:rsidRPr="00B47608" w:rsidRDefault="00E31C95" w:rsidP="00D155B6">
      <w:pPr>
        <w:pStyle w:val="Paragrafoelenco"/>
        <w:numPr>
          <w:ilvl w:val="0"/>
          <w:numId w:val="3"/>
        </w:numPr>
        <w:ind w:left="567" w:hanging="425"/>
        <w:jc w:val="both"/>
      </w:pPr>
      <w:r w:rsidRPr="00B47608">
        <w:t xml:space="preserve">La contrazione delle esportazioni </w:t>
      </w:r>
      <w:r w:rsidR="00370DF5" w:rsidRPr="00B47608">
        <w:t xml:space="preserve">risente </w:t>
      </w:r>
      <w:r w:rsidRPr="00B47608">
        <w:t>dal calo de</w:t>
      </w:r>
      <w:r w:rsidR="00E1028D" w:rsidRPr="00B47608">
        <w:t>i</w:t>
      </w:r>
      <w:r w:rsidRPr="00B47608">
        <w:t xml:space="preserve"> </w:t>
      </w:r>
      <w:r w:rsidR="00370DF5" w:rsidRPr="00B47608">
        <w:t>flussi</w:t>
      </w:r>
      <w:r w:rsidRPr="00B47608">
        <w:t xml:space="preserve"> verso la Germania (-</w:t>
      </w:r>
      <w:r w:rsidR="004112E8" w:rsidRPr="00B47608">
        <w:t>5</w:t>
      </w:r>
      <w:r w:rsidRPr="00B47608">
        <w:t>,</w:t>
      </w:r>
      <w:r w:rsidR="004112E8" w:rsidRPr="00B47608">
        <w:t>5</w:t>
      </w:r>
      <w:r w:rsidRPr="00B47608">
        <w:t>%</w:t>
      </w:r>
      <w:r w:rsidR="004112E8" w:rsidRPr="00B47608">
        <w:t xml:space="preserve"> nel 2024</w:t>
      </w:r>
      <w:r w:rsidRPr="00B47608">
        <w:t xml:space="preserve">), principale partner commerciale della regione. La frenata </w:t>
      </w:r>
      <w:r w:rsidR="005D29C0" w:rsidRPr="00B47608">
        <w:t>della manifattura</w:t>
      </w:r>
      <w:r w:rsidRPr="00B47608">
        <w:t xml:space="preserve"> tedesca, dovuta a fattori come l'aumento dei prezzi del gas, la debolezza della domanda globale e le difficoltà del settore automobilistico, si ripercuote sull'intera economia europea, con impatti significativi anche per l'Italia e per</w:t>
      </w:r>
      <w:r w:rsidR="005D29C0" w:rsidRPr="00B47608">
        <w:t xml:space="preserve"> alcuni dei suoi</w:t>
      </w:r>
      <w:r w:rsidRPr="00B47608">
        <w:t xml:space="preserve"> settori di specializzazione.</w:t>
      </w:r>
      <w:r w:rsidR="000154BE" w:rsidRPr="00B47608">
        <w:t xml:space="preserve"> </w:t>
      </w:r>
    </w:p>
    <w:p w14:paraId="18FC0AC3" w14:textId="3A86EC0F" w:rsidR="00370DF5" w:rsidRPr="00B47608" w:rsidRDefault="00724986" w:rsidP="00D155B6">
      <w:pPr>
        <w:pStyle w:val="Paragrafoelenco"/>
        <w:numPr>
          <w:ilvl w:val="0"/>
          <w:numId w:val="3"/>
        </w:numPr>
        <w:ind w:left="567" w:hanging="425"/>
        <w:jc w:val="both"/>
      </w:pPr>
      <w:r w:rsidRPr="00B47608">
        <w:t>Il processo di "decoupling" tra nazioni o blocchi economici, come quello in atto tra Cina e Stati Uniti, sta influenzando le decisioni di produzione delle aziende. L'impatto varia a seconda dell'importanza strategica di un settore e della sua "</w:t>
      </w:r>
      <w:proofErr w:type="spellStart"/>
      <w:r w:rsidRPr="00B47608">
        <w:t>reshorability</w:t>
      </w:r>
      <w:proofErr w:type="spellEnd"/>
      <w:r w:rsidRPr="00B47608">
        <w:t xml:space="preserve">" (capacità di riportare la produzione nel paese d'origine). I settori ad alta importanza strategica sono più inclini alla </w:t>
      </w:r>
      <w:r w:rsidR="00A37431">
        <w:t>rilocalizzazione</w:t>
      </w:r>
      <w:r w:rsidRPr="00B47608">
        <w:t xml:space="preserve"> fuori dalla Cina, con opzioni di "</w:t>
      </w:r>
      <w:proofErr w:type="spellStart"/>
      <w:r w:rsidRPr="00B47608">
        <w:t>reshoring</w:t>
      </w:r>
      <w:proofErr w:type="spellEnd"/>
      <w:r w:rsidRPr="00B47608">
        <w:t>" negli Stati Uniti se possibile, o "friend-</w:t>
      </w:r>
      <w:proofErr w:type="spellStart"/>
      <w:r w:rsidRPr="00B47608">
        <w:t>shoring</w:t>
      </w:r>
      <w:proofErr w:type="spellEnd"/>
      <w:r w:rsidRPr="00B47608">
        <w:t>" in paesi alleati.</w:t>
      </w:r>
    </w:p>
    <w:p w14:paraId="17754F2F" w14:textId="0AC56E66" w:rsidR="00A25CA2" w:rsidRPr="00B47608" w:rsidRDefault="003755B0" w:rsidP="00D155B6">
      <w:pPr>
        <w:pStyle w:val="Paragrafoelenco"/>
        <w:numPr>
          <w:ilvl w:val="0"/>
          <w:numId w:val="3"/>
        </w:numPr>
        <w:ind w:left="567" w:hanging="425"/>
        <w:jc w:val="both"/>
      </w:pPr>
      <w:r w:rsidRPr="00B47608">
        <w:t>Il decoupling sta avendo diverse conseguenze, tra cui l</w:t>
      </w:r>
      <w:r w:rsidR="00400663" w:rsidRPr="00B47608">
        <w:t>’a</w:t>
      </w:r>
      <w:r w:rsidRPr="00B47608">
        <w:t>umento del protezionismo</w:t>
      </w:r>
      <w:r w:rsidR="00400663" w:rsidRPr="00B47608">
        <w:t>, la r</w:t>
      </w:r>
      <w:r w:rsidRPr="00B47608">
        <w:t>iorganizzazione delle catene del valore globali</w:t>
      </w:r>
      <w:r w:rsidR="00400663" w:rsidRPr="00B47608">
        <w:t xml:space="preserve"> e la s</w:t>
      </w:r>
      <w:r w:rsidRPr="00B47608">
        <w:t>pinta verso l'autosufficienza: governi e aziende rafforzano la produzione interna, soprattutto nei settori strategici come semiconduttori e tecnologie digitali.</w:t>
      </w:r>
    </w:p>
    <w:p w14:paraId="30F652D9" w14:textId="6E7E0E9C" w:rsidR="007D1B18" w:rsidRPr="00B47608" w:rsidRDefault="00E17C0B" w:rsidP="00D155B6">
      <w:pPr>
        <w:pStyle w:val="Paragrafoelenco"/>
        <w:numPr>
          <w:ilvl w:val="0"/>
          <w:numId w:val="3"/>
        </w:numPr>
        <w:ind w:left="567" w:hanging="425"/>
        <w:jc w:val="both"/>
      </w:pPr>
      <w:r w:rsidRPr="00B47608">
        <w:t xml:space="preserve">Le imprese percepiscono come prima minaccia rispetto alle loro strategie di internazionalizzazione le tensioni politiche a livello internazionale (64,8% delle indicazioni), i rischi legati ai trasporti sia in termini di costi che di incertezza (31,5%) mentre al terzo posto si collocano i timori rispetto al protezionismo (19,8%). </w:t>
      </w:r>
    </w:p>
    <w:p w14:paraId="63657509" w14:textId="6688B187" w:rsidR="00E17C0B" w:rsidRPr="00B47608" w:rsidRDefault="00E17C0B" w:rsidP="00D155B6">
      <w:pPr>
        <w:pStyle w:val="Paragrafoelenco"/>
        <w:numPr>
          <w:ilvl w:val="0"/>
          <w:numId w:val="3"/>
        </w:numPr>
        <w:ind w:left="567" w:hanging="425"/>
        <w:jc w:val="both"/>
      </w:pPr>
      <w:r w:rsidRPr="00B47608">
        <w:t xml:space="preserve">Se si guarda al futuro il protezionismo </w:t>
      </w:r>
      <w:r w:rsidR="007D1B18" w:rsidRPr="00B47608">
        <w:t>è</w:t>
      </w:r>
      <w:r w:rsidRPr="00B47608">
        <w:t xml:space="preserve"> considerata la seconda minaccia (43,2% degli intervistati) e cres</w:t>
      </w:r>
      <w:r w:rsidR="00785E53" w:rsidRPr="00B47608">
        <w:t>ce</w:t>
      </w:r>
      <w:r w:rsidRPr="00B47608">
        <w:t xml:space="preserve"> anche la percentuale di imprese che indica </w:t>
      </w:r>
      <w:r w:rsidR="003809E6" w:rsidRPr="00B47608">
        <w:t>i</w:t>
      </w:r>
      <w:r w:rsidRPr="00B47608">
        <w:t xml:space="preserve"> rischi reputazionali legati all’ambito ESG come minaccia </w:t>
      </w:r>
      <w:r w:rsidR="003809E6" w:rsidRPr="00B47608">
        <w:t xml:space="preserve">arrivando al </w:t>
      </w:r>
      <w:r w:rsidRPr="00B47608">
        <w:t>12,8%.</w:t>
      </w:r>
    </w:p>
    <w:p w14:paraId="3FB5892E" w14:textId="25F27DE4" w:rsidR="00014271" w:rsidRDefault="00324261" w:rsidP="00D155B6">
      <w:pPr>
        <w:pStyle w:val="Paragrafoelenco"/>
        <w:numPr>
          <w:ilvl w:val="0"/>
          <w:numId w:val="3"/>
        </w:numPr>
        <w:ind w:left="567" w:hanging="425"/>
        <w:jc w:val="both"/>
      </w:pPr>
      <w:r w:rsidRPr="00B47608">
        <w:t>Le imprese</w:t>
      </w:r>
      <w:r w:rsidR="00D5091D" w:rsidRPr="00B47608">
        <w:t xml:space="preserve"> intervistate manifestano</w:t>
      </w:r>
      <w:r w:rsidR="00014271" w:rsidRPr="00B47608">
        <w:t xml:space="preserve"> un diffuso disaccordo sull'ipotesi che il </w:t>
      </w:r>
      <w:proofErr w:type="spellStart"/>
      <w:r w:rsidR="00014271" w:rsidRPr="00B47608">
        <w:t>friendshoring</w:t>
      </w:r>
      <w:proofErr w:type="spellEnd"/>
      <w:r w:rsidR="00014271" w:rsidRPr="00B47608">
        <w:t xml:space="preserve"> sia un fenomeno marginale, con la maggioranza degli intervistati che ne prevede un impatto significativo, sebbene non ancora pienamente percepibile nelle attuali reti di fornitura. Sussiste inoltre un consenso sul fatto che il </w:t>
      </w:r>
      <w:proofErr w:type="spellStart"/>
      <w:r w:rsidR="00014271" w:rsidRPr="00B47608">
        <w:t>friendshoring</w:t>
      </w:r>
      <w:proofErr w:type="spellEnd"/>
      <w:r w:rsidR="00014271" w:rsidRPr="00B47608">
        <w:t xml:space="preserve"> riguarderà principalmente le forniture strategiche e potrebbe offrire opportunità alle imprese italiane negli Stati Uniti</w:t>
      </w:r>
      <w:r w:rsidR="00BE2B0C" w:rsidRPr="00B47608">
        <w:t>.</w:t>
      </w:r>
    </w:p>
    <w:p w14:paraId="3E846FAC" w14:textId="77777777" w:rsidR="00404525" w:rsidRPr="00B47608" w:rsidRDefault="00404525" w:rsidP="00404525">
      <w:pPr>
        <w:spacing w:after="0"/>
        <w:ind w:left="142"/>
        <w:jc w:val="both"/>
      </w:pPr>
    </w:p>
    <w:p w14:paraId="4A8BB747" w14:textId="77777777" w:rsidR="00324261" w:rsidRPr="00B47608" w:rsidRDefault="00324261" w:rsidP="00324261">
      <w:pPr>
        <w:pStyle w:val="Titolo3"/>
      </w:pPr>
      <w:bookmarkStart w:id="4" w:name="_Toc193106851"/>
      <w:r w:rsidRPr="00B47608">
        <w:t>Le aspettative e le strategie delle imprese</w:t>
      </w:r>
      <w:bookmarkEnd w:id="4"/>
    </w:p>
    <w:p w14:paraId="781BA217" w14:textId="0F950820" w:rsidR="009705E3" w:rsidRPr="00B47608" w:rsidRDefault="009705E3" w:rsidP="00D155B6">
      <w:pPr>
        <w:pStyle w:val="Paragrafoelenco"/>
        <w:numPr>
          <w:ilvl w:val="0"/>
          <w:numId w:val="3"/>
        </w:numPr>
        <w:ind w:left="567" w:hanging="425"/>
        <w:jc w:val="both"/>
      </w:pPr>
      <w:r w:rsidRPr="00B47608">
        <w:t>Per più della metà delle imprese (53,9%) le esportazioni nel 2025 saranno sostanzialmente in linea (+/- 3%) rispetto al dato 2024. Più di un quarto (26,2%) si aspetta una crescita compresa tra il 3 e il 10%. Una percentuale che sale al 30,2% tra le imprese della meccanica e al 30,5% tra quelle con più di 50 addetti</w:t>
      </w:r>
      <w:r w:rsidR="00795AB6" w:rsidRPr="00B47608">
        <w:t>.</w:t>
      </w:r>
    </w:p>
    <w:p w14:paraId="63365897" w14:textId="75222FFD" w:rsidR="00D155B6" w:rsidRDefault="00795AB6" w:rsidP="00D155B6">
      <w:pPr>
        <w:pStyle w:val="Paragrafoelenco"/>
        <w:numPr>
          <w:ilvl w:val="0"/>
          <w:numId w:val="3"/>
        </w:numPr>
        <w:ind w:left="567" w:hanging="425"/>
        <w:jc w:val="both"/>
      </w:pPr>
      <w:r w:rsidRPr="00B47608">
        <w:t xml:space="preserve">Quasi la metà delle imprese (46,7%) punta ad incrementare la presenza in mercati già serviti. Una strategia che sembra convincere maggiormente le imprese che hanno una media intensità </w:t>
      </w:r>
      <w:proofErr w:type="spellStart"/>
      <w:r w:rsidRPr="00B47608">
        <w:t>esportativa</w:t>
      </w:r>
      <w:proofErr w:type="spellEnd"/>
      <w:r w:rsidRPr="00B47608">
        <w:t xml:space="preserve"> (59,4%) e quelle di dimensioni maggiori (53,6%). Solamente il 16,7% sceglie di sviluppare la propria presenza in nuovi mercati. </w:t>
      </w:r>
    </w:p>
    <w:p w14:paraId="3B97E882" w14:textId="77777777" w:rsidR="00D155B6" w:rsidRDefault="00D155B6">
      <w:r>
        <w:br w:type="page"/>
      </w:r>
    </w:p>
    <w:p w14:paraId="75B1DE57" w14:textId="44C96F21" w:rsidR="00B74F30" w:rsidRPr="00B47608" w:rsidRDefault="00B74F30" w:rsidP="00D155B6">
      <w:pPr>
        <w:pStyle w:val="Paragrafoelenco"/>
        <w:numPr>
          <w:ilvl w:val="0"/>
          <w:numId w:val="3"/>
        </w:numPr>
        <w:ind w:left="567" w:hanging="425"/>
        <w:jc w:val="both"/>
      </w:pPr>
      <w:r w:rsidRPr="00B47608">
        <w:lastRenderedPageBreak/>
        <w:t xml:space="preserve">I risultati dell'indagine </w:t>
      </w:r>
      <w:r w:rsidR="00C8785F" w:rsidRPr="00B47608">
        <w:t xml:space="preserve">evidenziano ampi spazi per processi di upgrading rispetto alle modalità di presidio dei mercati esteri: </w:t>
      </w:r>
      <w:r w:rsidRPr="00B47608">
        <w:t>l'esportazione diretta verso clienti finali, grossisti o distributori locali rappresenta</w:t>
      </w:r>
      <w:r w:rsidR="00C8785F" w:rsidRPr="00B47608">
        <w:t>, infatti, di gran lunga</w:t>
      </w:r>
      <w:r w:rsidRPr="00B47608">
        <w:t xml:space="preserve"> la modalità prevalente di interazione con i mercati esteri per le PMI manifatturiere (71,4%).</w:t>
      </w:r>
      <w:r w:rsidR="007E0D95" w:rsidRPr="00B47608">
        <w:t xml:space="preserve"> Le forme di presenza diretta sui mercati esteri, quali filiali commerciali, uffici di rappresentanza e produzione all'estero, registrano percentuali decisamente inferiori</w:t>
      </w:r>
      <w:r w:rsidR="00B905F9" w:rsidRPr="00B47608">
        <w:t>.</w:t>
      </w:r>
    </w:p>
    <w:p w14:paraId="4C853813" w14:textId="6448A1E8" w:rsidR="00732647" w:rsidRDefault="00732647" w:rsidP="00D155B6">
      <w:pPr>
        <w:pStyle w:val="Paragrafoelenco"/>
        <w:numPr>
          <w:ilvl w:val="0"/>
          <w:numId w:val="3"/>
        </w:numPr>
        <w:ind w:left="567" w:hanging="425"/>
        <w:jc w:val="both"/>
      </w:pPr>
      <w:r w:rsidRPr="00B47608">
        <w:t>Tra le imprese che dichiarano di voler esplorare nuovi mercati quelli considerati più interessanti sono gli Stati Uniti (indicati dal 21,7% delle imprese che intende adottate tale strategia), seguita dalla Cina (8,9%).</w:t>
      </w:r>
    </w:p>
    <w:p w14:paraId="0701C174" w14:textId="77777777" w:rsidR="00404525" w:rsidRPr="00B47608" w:rsidRDefault="00404525" w:rsidP="00404525">
      <w:pPr>
        <w:spacing w:after="0"/>
        <w:ind w:left="142"/>
        <w:jc w:val="both"/>
      </w:pPr>
    </w:p>
    <w:p w14:paraId="79389103" w14:textId="599FB24A" w:rsidR="00573BDB" w:rsidRPr="00B47608" w:rsidRDefault="00573BDB" w:rsidP="00DD3989">
      <w:pPr>
        <w:pStyle w:val="Titolo3"/>
        <w:spacing w:before="120"/>
      </w:pPr>
      <w:bookmarkStart w:id="5" w:name="_Toc193106852"/>
      <w:r w:rsidRPr="00B47608">
        <w:t>L</w:t>
      </w:r>
      <w:r w:rsidR="00DE39B9" w:rsidRPr="00B47608">
        <w:t>a crisi della Germania</w:t>
      </w:r>
      <w:bookmarkEnd w:id="5"/>
    </w:p>
    <w:p w14:paraId="6837236B" w14:textId="2392241A" w:rsidR="00862420" w:rsidRPr="00B47608" w:rsidRDefault="00553274" w:rsidP="00EC046E">
      <w:pPr>
        <w:pStyle w:val="Paragrafoelenco"/>
        <w:numPr>
          <w:ilvl w:val="0"/>
          <w:numId w:val="3"/>
        </w:numPr>
        <w:jc w:val="both"/>
      </w:pPr>
      <w:r w:rsidRPr="00B47608">
        <w:t>Il 61,7% delle imprese intervistate ha dichiarato di esportare in Germania, con punte del 71,5% tra le imprese della meccanica.</w:t>
      </w:r>
    </w:p>
    <w:p w14:paraId="15F9E152" w14:textId="6202BC7C" w:rsidR="00553274" w:rsidRPr="00B47608" w:rsidRDefault="004A4DF2" w:rsidP="00EC046E">
      <w:pPr>
        <w:pStyle w:val="Paragrafoelenco"/>
        <w:numPr>
          <w:ilvl w:val="0"/>
          <w:numId w:val="3"/>
        </w:numPr>
        <w:jc w:val="both"/>
      </w:pPr>
      <w:r w:rsidRPr="00B47608">
        <w:t>I primi 9 mesi del 2024 non sono stati positivi per le esportazioni in Germania. Prevale la stabilità (che segna variazioni comprese tra +/- 3%), indicata dal 42,7% delle imprese che intrattiene relazioni commerciali con la Germania. Il 39,9% dichiara, invece, una diminuzione delle esportazioni. Per il 19,5% la variazione negativa è compresa tra il 3 e il 10%, per il 20,4% supera il 10%.</w:t>
      </w:r>
    </w:p>
    <w:p w14:paraId="4B7DA654" w14:textId="158904B6" w:rsidR="00C157AA" w:rsidRDefault="0058337A" w:rsidP="00EC046E">
      <w:pPr>
        <w:pStyle w:val="Paragrafoelenco"/>
        <w:numPr>
          <w:ilvl w:val="0"/>
          <w:numId w:val="3"/>
        </w:numPr>
        <w:jc w:val="both"/>
      </w:pPr>
      <w:r w:rsidRPr="00B47608">
        <w:t>L’interpretazione che le imprese danno della situazione di difficoltà dell’economia tedesca non è univoca. Se è vero che il 57,3% ritiene che la Germania stia vivendo problemi di carattere strutturale quasi il 40% (37,1%) ritiene che il paese stia vivendo un problema di natura congiunturale che si risolverà nei prossimi mesi.</w:t>
      </w:r>
    </w:p>
    <w:p w14:paraId="25580638" w14:textId="77777777" w:rsidR="00404525" w:rsidRPr="00B47608" w:rsidRDefault="00404525" w:rsidP="00404525">
      <w:pPr>
        <w:spacing w:after="0"/>
        <w:ind w:left="357"/>
        <w:jc w:val="both"/>
      </w:pPr>
    </w:p>
    <w:p w14:paraId="0F6CD441" w14:textId="295B3A7F" w:rsidR="00EF173E" w:rsidRPr="00B47608" w:rsidRDefault="00EF173E" w:rsidP="00DD3989">
      <w:pPr>
        <w:pStyle w:val="Titolo3"/>
        <w:spacing w:before="120"/>
      </w:pPr>
      <w:bookmarkStart w:id="6" w:name="_Toc193106853"/>
      <w:r w:rsidRPr="00B47608">
        <w:t>La revisione delle reti di fornitura</w:t>
      </w:r>
      <w:r w:rsidR="00873F1E" w:rsidRPr="00B47608">
        <w:t>: regionalizzazione in atto</w:t>
      </w:r>
      <w:bookmarkEnd w:id="6"/>
    </w:p>
    <w:p w14:paraId="6794E94B" w14:textId="76D28059" w:rsidR="00EF173E" w:rsidRPr="00B47608" w:rsidRDefault="00F47D1C" w:rsidP="00F47D1C">
      <w:pPr>
        <w:pStyle w:val="Paragrafoelenco"/>
        <w:numPr>
          <w:ilvl w:val="0"/>
          <w:numId w:val="3"/>
        </w:numPr>
        <w:jc w:val="both"/>
      </w:pPr>
      <w:r w:rsidRPr="00B47608">
        <w:t>Nel 2024 la quota di imprese che ha cambiato almeno un fornitore strategico nel biennio pre</w:t>
      </w:r>
      <w:r w:rsidR="00504F7C" w:rsidRPr="00B47608">
        <w:t>c</w:t>
      </w:r>
      <w:r w:rsidRPr="00B47608">
        <w:t>edente si attesta al 31,3%.</w:t>
      </w:r>
    </w:p>
    <w:p w14:paraId="659FFA06" w14:textId="3CD5E497" w:rsidR="00F47D1C" w:rsidRPr="00B47608" w:rsidRDefault="00504F7C" w:rsidP="00F47D1C">
      <w:pPr>
        <w:pStyle w:val="Paragrafoelenco"/>
        <w:numPr>
          <w:ilvl w:val="0"/>
          <w:numId w:val="3"/>
        </w:numPr>
        <w:jc w:val="both"/>
      </w:pPr>
      <w:r w:rsidRPr="00B47608">
        <w:t>I</w:t>
      </w:r>
      <w:r w:rsidR="006F280C" w:rsidRPr="00B47608">
        <w:t>l 52,6% delle imprese ha rilocalizzato in Italia i fornitori strategici, il 5,1% li ha riavvicinati ma fuori dai confini nazionali, mentre il 13,6% li ha scelti più lontani ma comunque in Europa e il 25,2% più lontani e fuori dall’Europa.</w:t>
      </w:r>
    </w:p>
    <w:p w14:paraId="460D789E" w14:textId="382A50D0" w:rsidR="00873F1E" w:rsidRDefault="00873F1E" w:rsidP="00F47D1C">
      <w:pPr>
        <w:pStyle w:val="Paragrafoelenco"/>
        <w:numPr>
          <w:ilvl w:val="0"/>
          <w:numId w:val="3"/>
        </w:numPr>
        <w:jc w:val="both"/>
      </w:pPr>
      <w:r w:rsidRPr="00B47608">
        <w:t>L'analisi dell'Osservatorio sulla revisione delle catene di fornitura, avviata nel 2022, mostra l’evoluzione nelle strategie di approvvigionamento delle imprese. In sintesi, si osserva una tendenza alla revisione delle reti di fornitura, con una marcata preferenza per fornitori localizzati in Italia e, in misura crescente, in Europa.</w:t>
      </w:r>
    </w:p>
    <w:p w14:paraId="4C2409B8" w14:textId="77777777" w:rsidR="00DD3989" w:rsidRPr="00B47608" w:rsidRDefault="00DD3989" w:rsidP="00DD3989">
      <w:pPr>
        <w:spacing w:after="0"/>
        <w:ind w:left="357"/>
        <w:jc w:val="both"/>
      </w:pPr>
    </w:p>
    <w:p w14:paraId="0868EA5F" w14:textId="2E8F875C" w:rsidR="00ED471F" w:rsidRPr="00B47608" w:rsidRDefault="00ED471F" w:rsidP="00DD3989">
      <w:pPr>
        <w:pStyle w:val="Titolo3"/>
        <w:spacing w:before="120"/>
      </w:pPr>
      <w:bookmarkStart w:id="7" w:name="_Toc193106854"/>
      <w:r w:rsidRPr="00B47608">
        <w:t>Le transizioni gemelle</w:t>
      </w:r>
      <w:r w:rsidR="002101B7" w:rsidRPr="00B47608">
        <w:t>: l’impatto dell’IA</w:t>
      </w:r>
      <w:r w:rsidR="00D6071A" w:rsidRPr="00B47608">
        <w:t xml:space="preserve"> e i nuovi servizi per le imprese</w:t>
      </w:r>
      <w:bookmarkEnd w:id="7"/>
    </w:p>
    <w:p w14:paraId="14ACE300" w14:textId="5E76BE8B" w:rsidR="00AB1B11" w:rsidRPr="00B47608" w:rsidRDefault="00AB1B11" w:rsidP="00AB1B11">
      <w:pPr>
        <w:pStyle w:val="Paragrafoelenco"/>
        <w:numPr>
          <w:ilvl w:val="0"/>
          <w:numId w:val="3"/>
        </w:numPr>
        <w:jc w:val="both"/>
      </w:pPr>
      <w:r w:rsidRPr="00B47608">
        <w:t>Quasi metà delle imprese (48,6%) sostiene che in futuro cercherà di aumentare e/o migliorare la propria presenza online in modo da incrementare la propria proiezione internazionale. Il 32,5% delle imprese dichiara che effettuerà investimenti nel marketing digitale, mentre il 30,5% adotterà software necessari alla mappatura e gestione dei rischi.</w:t>
      </w:r>
    </w:p>
    <w:p w14:paraId="4CE924C1" w14:textId="77777777" w:rsidR="00DD3989" w:rsidRDefault="00A40677" w:rsidP="006A7596">
      <w:pPr>
        <w:pStyle w:val="Paragrafoelenco"/>
        <w:numPr>
          <w:ilvl w:val="0"/>
          <w:numId w:val="3"/>
        </w:numPr>
        <w:jc w:val="both"/>
      </w:pPr>
      <w:r w:rsidRPr="00B47608">
        <w:t>Il 53,8% delle imprese sostiene che la sostenibilità è un fattore importante per il successo dell’espansione internazionale della propria impresa</w:t>
      </w:r>
      <w:r w:rsidR="00B62FDD" w:rsidRPr="00B47608">
        <w:t xml:space="preserve"> e negli ultimi anni, l’interesse di clienti e fornitori internazionali verso le politiche di sostenibilità ambientale messe in atto dalle singole imprese è aumentato, come dichiarato dal 49,1% delle imprese intervistate.</w:t>
      </w:r>
    </w:p>
    <w:p w14:paraId="2E93852A" w14:textId="77777777" w:rsidR="00A40677" w:rsidRPr="00B47608" w:rsidRDefault="00A40677" w:rsidP="00D155B6">
      <w:pPr>
        <w:ind w:left="360"/>
        <w:jc w:val="both"/>
      </w:pPr>
    </w:p>
    <w:p w14:paraId="08481CDA" w14:textId="5900E6E5" w:rsidR="00951F2F" w:rsidRPr="00B47608" w:rsidRDefault="00951F2F" w:rsidP="00AB1B11">
      <w:pPr>
        <w:pStyle w:val="Paragrafoelenco"/>
        <w:numPr>
          <w:ilvl w:val="0"/>
          <w:numId w:val="3"/>
        </w:numPr>
        <w:jc w:val="both"/>
      </w:pPr>
      <w:r w:rsidRPr="00B47608">
        <w:t>Le imprese non sono gli unici attori nel processo di transizione verso una maggiore sostenibilità ambientale. Dalla rilevazione emerge che investitori, partner finanziari e attori del sistema creditizio hanno avanzato richieste in merito a politiche e performance di sostenibilità al 49,4% delle imprese intervistate, mentre il 46,4% dichiara di non aver ricevuto sollecitazioni di questo tipo.</w:t>
      </w:r>
    </w:p>
    <w:p w14:paraId="7B2F2046" w14:textId="767C0726" w:rsidR="0006295D" w:rsidRPr="00B47608" w:rsidRDefault="00392765" w:rsidP="00494CD7">
      <w:pPr>
        <w:pStyle w:val="Paragrafoelenco"/>
        <w:numPr>
          <w:ilvl w:val="0"/>
          <w:numId w:val="3"/>
        </w:numPr>
        <w:jc w:val="both"/>
      </w:pPr>
      <w:r w:rsidRPr="00B47608">
        <w:t>Un recente report del WTO sottolinea come l'</w:t>
      </w:r>
      <w:r w:rsidR="00AF0E9C" w:rsidRPr="00B47608">
        <w:t>intelligenza artificiale impatterà sul commercio internazionale</w:t>
      </w:r>
      <w:r w:rsidRPr="00B47608">
        <w:t xml:space="preserve"> porta</w:t>
      </w:r>
      <w:r w:rsidR="00AF0E9C" w:rsidRPr="00B47608">
        <w:t>ndo</w:t>
      </w:r>
      <w:r w:rsidR="00D704E2" w:rsidRPr="00B47608">
        <w:t>, tra le altre cose,</w:t>
      </w:r>
      <w:r w:rsidRPr="00B47608">
        <w:t xml:space="preserve"> a una riduzione dei costi, a un aumento della produttività e a una</w:t>
      </w:r>
      <w:r w:rsidR="00D704E2" w:rsidRPr="00B47608">
        <w:t xml:space="preserve"> generale</w:t>
      </w:r>
      <w:r w:rsidRPr="00B47608">
        <w:t xml:space="preserve"> ristrutturazione del commercio globale.</w:t>
      </w:r>
      <w:r w:rsidR="0081516E" w:rsidRPr="00B47608">
        <w:t xml:space="preserve"> </w:t>
      </w:r>
      <w:r w:rsidR="001D4B59" w:rsidRPr="00B47608">
        <w:t xml:space="preserve"> </w:t>
      </w:r>
      <w:r w:rsidR="00494CD7" w:rsidRPr="00B47608">
        <w:t xml:space="preserve">Come accompagnate le imprese </w:t>
      </w:r>
      <w:r w:rsidR="00E77F1E" w:rsidRPr="00B47608">
        <w:t>nel processo di esplorazione di strumenti e tecniche</w:t>
      </w:r>
      <w:r w:rsidR="002D6419" w:rsidRPr="00B47608">
        <w:t xml:space="preserve"> come quelle legate all’IA</w:t>
      </w:r>
      <w:r w:rsidR="00D6071A" w:rsidRPr="00B47608">
        <w:t>?</w:t>
      </w:r>
      <w:r w:rsidR="00D155B6">
        <w:t xml:space="preserve"> È</w:t>
      </w:r>
      <w:r w:rsidR="00D6071A" w:rsidRPr="00B47608">
        <w:t xml:space="preserve"> una delle questioni che emergono nell’analisi dei servizi per le imprese. </w:t>
      </w:r>
      <w:r w:rsidR="0006295D" w:rsidRPr="00B47608">
        <w:br w:type="page"/>
      </w:r>
    </w:p>
    <w:p w14:paraId="66BBDA26" w14:textId="4D563CD9" w:rsidR="00E04C2F" w:rsidRPr="00E04C2F" w:rsidRDefault="00E04C2F" w:rsidP="00E04C2F">
      <w:pPr>
        <w:pStyle w:val="Titolo2"/>
        <w:spacing w:after="0"/>
        <w:rPr>
          <w:rFonts w:asciiTheme="minorHAnsi" w:hAnsiTheme="minorHAnsi"/>
        </w:rPr>
      </w:pPr>
      <w:bookmarkStart w:id="8" w:name="_Toc193106855"/>
      <w:r w:rsidRPr="00E04C2F">
        <w:rPr>
          <w:rFonts w:asciiTheme="minorHAnsi" w:hAnsiTheme="minorHAnsi"/>
        </w:rPr>
        <w:lastRenderedPageBreak/>
        <w:t xml:space="preserve">Quadro </w:t>
      </w:r>
      <w:r w:rsidR="000945C2">
        <w:rPr>
          <w:rFonts w:asciiTheme="minorHAnsi" w:hAnsiTheme="minorHAnsi"/>
        </w:rPr>
        <w:t>generale</w:t>
      </w:r>
      <w:bookmarkEnd w:id="8"/>
    </w:p>
    <w:p w14:paraId="4FACCFC7" w14:textId="77777777" w:rsidR="00E04C2F" w:rsidRPr="000B0E1E" w:rsidRDefault="00E04C2F" w:rsidP="00E04C2F">
      <w:pPr>
        <w:spacing w:after="120" w:line="276" w:lineRule="auto"/>
        <w:jc w:val="both"/>
        <w:rPr>
          <w:rFonts w:ascii="Arial" w:eastAsia="Times New Roman" w:hAnsi="Arial" w:cs="Arial"/>
          <w:iCs/>
          <w:kern w:val="0"/>
          <w:lang w:eastAsia="it-IT"/>
          <w14:ligatures w14:val="none"/>
        </w:rPr>
      </w:pPr>
    </w:p>
    <w:p w14:paraId="33ABD551" w14:textId="77777777" w:rsidR="00E04C2F" w:rsidRPr="00E04C2F" w:rsidRDefault="00E04C2F" w:rsidP="00E04C2F">
      <w:pPr>
        <w:spacing w:after="120" w:line="276" w:lineRule="auto"/>
        <w:jc w:val="both"/>
      </w:pPr>
      <w:r w:rsidRPr="00E04C2F">
        <w:t xml:space="preserve">Nel 2025 l'economia globale è attesa continuare ad avanzare a tassi modesti, leggermente inferiori alla media dell'ultimo decennio. A livello regionale, la crescita del Pil dell’Eurozona dovrebbe attestarsi attorno all’1% (dopo un biennio di sostanziale stagnazione), con l’economia tedesca in timida ripresa, mentre quella spagnola dovrebbe confermarsi la più vivace tra quelle principali dell’area. </w:t>
      </w:r>
    </w:p>
    <w:p w14:paraId="62235DF7" w14:textId="77777777" w:rsidR="00E04C2F" w:rsidRPr="00E04C2F" w:rsidRDefault="00E04C2F" w:rsidP="00E04C2F">
      <w:pPr>
        <w:spacing w:after="120" w:line="276" w:lineRule="auto"/>
        <w:jc w:val="both"/>
      </w:pPr>
      <w:r w:rsidRPr="00E04C2F">
        <w:t xml:space="preserve">In questo scenario, è attesa proseguire la dinamica decrescente dell’inflazione verso il 3,7% a livello mondiale. In particolare, nelle economie avanzate la variazione dell’indice dei prezzi al consumo dovrebbe consentire alle relative Banche Centrali di continuare a ridurre i tassi di interesse. </w:t>
      </w:r>
    </w:p>
    <w:p w14:paraId="01D8A8E5" w14:textId="77777777" w:rsidR="00E04C2F" w:rsidRPr="00E04C2F" w:rsidRDefault="00E04C2F" w:rsidP="00E04C2F">
      <w:pPr>
        <w:spacing w:after="120" w:line="276" w:lineRule="auto"/>
        <w:jc w:val="both"/>
      </w:pPr>
      <w:r w:rsidRPr="00E04C2F">
        <w:t>Le condizioni finanziarie più accomodanti sono attese tradursi in un migliore accesso al credito, con impatti positivi sulla disponibilità di credito bancario e di altre forme di finanziamento (quali, ad esempio, il factoring) e di conseguenza sulle decisioni di investimento delle imprese.</w:t>
      </w:r>
    </w:p>
    <w:p w14:paraId="6FD41CB3" w14:textId="77777777" w:rsidR="00E04C2F" w:rsidRPr="00E04C2F" w:rsidRDefault="00E04C2F" w:rsidP="00E04C2F">
      <w:pPr>
        <w:spacing w:after="120" w:line="276" w:lineRule="auto"/>
        <w:jc w:val="both"/>
      </w:pPr>
      <w:r w:rsidRPr="00E04C2F">
        <w:t xml:space="preserve">Il contesto più favorevole compenserà gli effetti di politiche di bilancio meno espansive, col venir meno degli ingenti incentivi fiscali che hanno sostenuto il fabbisogno di liquidità durante la duplice crisi pandemica ed energetica; al contempo, esso agevolerà gli investimenti privati nelle transizioni green e digitale, sostenuti in parte dai piani infrastrutturali dei governi. </w:t>
      </w:r>
    </w:p>
    <w:p w14:paraId="375DF21F" w14:textId="77777777" w:rsidR="00E04C2F" w:rsidRPr="00E04C2F" w:rsidRDefault="00E04C2F" w:rsidP="00E04C2F">
      <w:pPr>
        <w:spacing w:after="120" w:line="276" w:lineRule="auto"/>
        <w:jc w:val="both"/>
      </w:pPr>
      <w:r w:rsidRPr="00E04C2F">
        <w:t>In questo quadro, il commercio mondiale di beni in volume proseguirà il graduale recupero, rafforzando i segnali di ripresa emersi lo scorso anno, con il tasso di crescita atteso attorno al +3,0% nel 2025.</w:t>
      </w:r>
    </w:p>
    <w:p w14:paraId="2A1E59D1" w14:textId="77777777" w:rsidR="00E04C2F" w:rsidRPr="00E04C2F" w:rsidRDefault="00E04C2F" w:rsidP="00E04C2F">
      <w:pPr>
        <w:spacing w:after="120" w:line="276" w:lineRule="auto"/>
        <w:jc w:val="both"/>
      </w:pPr>
      <w:r w:rsidRPr="00E04C2F">
        <w:t>Tuttavia, il quadro previsivo macroeconomico globale continua a essere condizionato da rischi al ribasso, come riflesso del clima di elevata incertezza sia sulla scala che sulle tempistiche delle scelte di politica fiscale, commerciale e migratoria degli Stati Uniti. Non da meno, le tensioni geopolitiche rimangono significative e gravano sugli equilibri mondiali.</w:t>
      </w:r>
    </w:p>
    <w:p w14:paraId="6968767F" w14:textId="77777777" w:rsidR="00E04C2F" w:rsidRPr="00E04C2F" w:rsidRDefault="00E04C2F" w:rsidP="00E04C2F">
      <w:pPr>
        <w:spacing w:after="120" w:line="276" w:lineRule="auto"/>
        <w:jc w:val="both"/>
      </w:pPr>
      <w:r w:rsidRPr="00E04C2F">
        <w:t xml:space="preserve">Questi elementi sono fattori da monitorare a fronte della rilevanza dell’export per la crescita dell’economia italiana. In uno scenario base, si prevede una crescita delle nostre esportazioni del 3% quest’anno e del 2,4% nel 2026. Questa tendenza rappresenta un positivo cambio di passo rispetto all’andamento piatto dello scorso biennio (0% nel 2023; -0,4% nel 2024). In particolare, lo scorso anno le esportazioni italiane hanno scontato una contrazione della componente in volume (-2,4%) insufficiente a compensare la crescita dei valori medi unitari (+2,1%). In termini di geografie, è rimasta debole la domanda dai mercati Ue, che hanno segnato un calo dell’1,9% con una performance particolarmente negativa dei principali partner italiani, Germania (-5%) e Francia (-2,1%); positivo seppur modesto l’apporto delle destinazioni al di fuori del mercato unico (+1,2%), sintesi di performance particolarmente positive di mercati come Arabia Saudita (+27,9%), Turchia (+23,9%) e Emirati Arabi Uniti (+19,4%) e di domande meno dinamiche da parte di Cina (-20%) e Stati Uniti (-3,6%). Tra i settori sono i beni strumentali e intermedi ad avere registrato flessioni (rispettivamente -4,3% e -1,1%), sulla scia della performance negativa rispettivamente dei mezzi di trasporto (-12,2%) e dei metalli (-3,3%), e a fronte di una buona dinamica dei beni di consumo (+5,6%), sia durevoli che non durevoli. </w:t>
      </w:r>
    </w:p>
    <w:p w14:paraId="6796E297" w14:textId="77777777" w:rsidR="00E04C2F" w:rsidRPr="00E04C2F" w:rsidRDefault="00E04C2F" w:rsidP="00E04C2F">
      <w:pPr>
        <w:spacing w:line="276" w:lineRule="auto"/>
        <w:jc w:val="both"/>
      </w:pPr>
      <w:r w:rsidRPr="00E04C2F">
        <w:t>Il Veneto conferma la sua forte vocazione all’estero: con un’incidenza dell’interscambio di beni sul Pil pari a circa il 73% è la regione italiana più aperta agli scambi internazionali (57% il dato a livello nazionale) e ospita circa il 13% di tutti gli operatori all’export attivi in Italia. La regione continua a mantenersi al terzo posto a livello italiano in termini di export di beni, seguendo Lombardia ed Emilia-</w:t>
      </w:r>
      <w:r w:rsidRPr="00E04C2F">
        <w:lastRenderedPageBreak/>
        <w:t>Romagna, e avendo originato il 13% di tutte le merci esportate dall’Italia per un valore di 80,2 miliardi di euro nel 2024. Il quadro internazionale complesso dello scorso biennio ha pesato anche sulle vendite all’estero della regione, che hanno segnato una contrazione in entrambi gli anni (-0,7% nel 2023 e -1,8% nel 2024).</w:t>
      </w:r>
    </w:p>
    <w:p w14:paraId="227FAFBF" w14:textId="77777777" w:rsidR="00E04C2F" w:rsidRPr="00E04C2F" w:rsidRDefault="00E04C2F" w:rsidP="00304D50">
      <w:pPr>
        <w:spacing w:after="0" w:line="276" w:lineRule="auto"/>
        <w:jc w:val="both"/>
      </w:pPr>
      <w:r w:rsidRPr="00E04C2F">
        <w:t xml:space="preserve">In termini settoriali la performance delle vendite venete all’estero degli ultimi due anni è diversa: mentre nel 2023 l’andamento negativo è stato da ascriversi in larga parte alla contrazione dei beni intermedi, lo scorso anno anche settori dei beni di investimento – quali meccanica strumentale e apparecchi elettrici – hanno mostrato flessioni (Fig. Y). Dopo aver chiuso il 2023 con una crescita brillante, la meccanica strumentale – primo settore di export della regione – ha segnato una flessione lo scorso anno, scontando l’ottima performance precedente ma anche l’incertezza percepita a livello globale che ha portato molte imprese a rivedere i propri piani di investimento. Spiccano in questo quadro altra manifattura e alimentari e bevande, in crescita in entrambi gli anni. A spingere le vendite di altra manifattura nel 2023 è stata la crescita di strumenti e forniture mediche e dentistiche (+7,4%), mentre lo scorso anno quella di gioielleria e metalli preziosi (+12,1%). I comparti degli alimentari e bevande hanno registrato invece crescite diffuse, con andamenti particolarmente positivi nel 2024 – ad esempio – per prodotti da forno e farinacei (+9,3%) e prodotti a base di carne (+3,3%) e latte e latticini (+13,9%). In accelerazione lo scorso anno (+7%), dopo una performance debole del 2023 (+0,4%), le bevande – primo comparto di export del settore, composto principalmente da vino (+7,3%). </w:t>
      </w:r>
    </w:p>
    <w:p w14:paraId="59DBAF04" w14:textId="77777777" w:rsidR="00E04C2F" w:rsidRPr="000B0E1E" w:rsidRDefault="00E04C2F" w:rsidP="00304D50">
      <w:pPr>
        <w:spacing w:after="0" w:line="276" w:lineRule="auto"/>
        <w:jc w:val="both"/>
        <w:rPr>
          <w:rFonts w:ascii="Arial" w:eastAsia="Times New Roman" w:hAnsi="Arial" w:cs="Arial"/>
          <w:kern w:val="0"/>
          <w:lang w:eastAsia="it-IT"/>
          <w14:ligatures w14:val="none"/>
        </w:rPr>
      </w:pPr>
    </w:p>
    <w:p w14:paraId="5BD62563" w14:textId="77777777" w:rsidR="00E04C2F" w:rsidRPr="00E04C2F" w:rsidRDefault="00E04C2F" w:rsidP="00E04C2F">
      <w:pPr>
        <w:spacing w:line="276" w:lineRule="auto"/>
        <w:jc w:val="both"/>
        <w:rPr>
          <w:rFonts w:ascii="Aptos" w:eastAsia="Times New Roman" w:hAnsi="Aptos" w:cs="Aptos"/>
          <w:b/>
          <w:kern w:val="0"/>
          <w:lang w:eastAsia="it-IT"/>
          <w14:ligatures w14:val="none"/>
        </w:rPr>
      </w:pPr>
      <w:r w:rsidRPr="00E04C2F">
        <w:rPr>
          <w:rFonts w:ascii="Aptos" w:eastAsia="Times New Roman" w:hAnsi="Aptos" w:cs="Aptos"/>
          <w:b/>
          <w:kern w:val="0"/>
          <w:lang w:eastAsia="it-IT"/>
          <w14:ligatures w14:val="none"/>
        </w:rPr>
        <w:t xml:space="preserve">Figura Y – Esportazioni di beni del Veneto, per settore </w:t>
      </w:r>
      <w:r w:rsidRPr="00E04C2F">
        <w:rPr>
          <w:rFonts w:ascii="Aptos" w:eastAsia="Times New Roman" w:hAnsi="Aptos" w:cs="Aptos"/>
          <w:bCs/>
          <w:kern w:val="0"/>
          <w:lang w:eastAsia="it-IT"/>
          <w14:ligatures w14:val="none"/>
        </w:rPr>
        <w:t>(€ mld 2024 e var. %)</w:t>
      </w:r>
    </w:p>
    <w:p w14:paraId="4165273F" w14:textId="77777777" w:rsidR="00E04C2F" w:rsidRPr="00E04C2F" w:rsidRDefault="00E04C2F" w:rsidP="00E04C2F">
      <w:pPr>
        <w:spacing w:line="276" w:lineRule="auto"/>
        <w:jc w:val="center"/>
        <w:rPr>
          <w:rFonts w:ascii="Aptos" w:eastAsia="Times New Roman" w:hAnsi="Aptos" w:cs="Aptos"/>
          <w:bCs/>
          <w:kern w:val="0"/>
          <w:sz w:val="24"/>
          <w:szCs w:val="24"/>
          <w:lang w:eastAsia="it-IT"/>
          <w14:ligatures w14:val="none"/>
        </w:rPr>
      </w:pPr>
      <w:r w:rsidRPr="00E04C2F">
        <w:rPr>
          <w:rFonts w:ascii="Aptos" w:eastAsia="Times New Roman" w:hAnsi="Aptos" w:cs="Aptos"/>
          <w:noProof/>
          <w:kern w:val="0"/>
          <w:sz w:val="24"/>
          <w:szCs w:val="24"/>
          <w:lang w:eastAsia="it-IT"/>
        </w:rPr>
        <w:drawing>
          <wp:inline distT="0" distB="0" distL="0" distR="0" wp14:anchorId="0B7C9742" wp14:editId="45C3632B">
            <wp:extent cx="4572000" cy="3204000"/>
            <wp:effectExtent l="0" t="0" r="0" b="0"/>
            <wp:docPr id="10982143" name="Grafico 1">
              <a:extLst xmlns:a="http://schemas.openxmlformats.org/drawingml/2006/main">
                <a:ext uri="{FF2B5EF4-FFF2-40B4-BE49-F238E27FC236}">
                  <a16:creationId xmlns:a16="http://schemas.microsoft.com/office/drawing/2014/main" id="{D03191A4-9D85-855D-B1CD-4981CB4AE2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7CF82CB" w14:textId="77777777" w:rsidR="00304D50" w:rsidRDefault="00E04C2F" w:rsidP="00E04C2F">
      <w:pPr>
        <w:spacing w:after="0" w:line="276" w:lineRule="auto"/>
        <w:jc w:val="both"/>
        <w:rPr>
          <w:rFonts w:ascii="Aptos" w:eastAsia="Times New Roman" w:hAnsi="Aptos" w:cs="Aptos"/>
          <w:bCs/>
          <w:kern w:val="0"/>
          <w:sz w:val="20"/>
          <w:szCs w:val="20"/>
          <w:lang w:eastAsia="it-IT"/>
          <w14:ligatures w14:val="none"/>
        </w:rPr>
      </w:pPr>
      <w:r w:rsidRPr="00E04C2F">
        <w:rPr>
          <w:rFonts w:ascii="Aptos" w:eastAsia="Times New Roman" w:hAnsi="Aptos" w:cs="Aptos"/>
          <w:bCs/>
          <w:kern w:val="0"/>
          <w:sz w:val="20"/>
          <w:szCs w:val="20"/>
          <w:lang w:eastAsia="it-IT"/>
          <w14:ligatures w14:val="none"/>
        </w:rPr>
        <w:t>Fonte: Elaborazioni SACE su dati Istat.</w:t>
      </w:r>
    </w:p>
    <w:p w14:paraId="62CCF736" w14:textId="792ABE32" w:rsidR="00E04C2F" w:rsidRPr="00E04C2F" w:rsidRDefault="00E04C2F" w:rsidP="00E04C2F">
      <w:pPr>
        <w:spacing w:after="0" w:line="276" w:lineRule="auto"/>
        <w:jc w:val="both"/>
        <w:rPr>
          <w:rFonts w:ascii="Aptos" w:eastAsia="Times New Roman" w:hAnsi="Aptos" w:cs="Aptos"/>
          <w:bCs/>
          <w:kern w:val="0"/>
          <w:sz w:val="20"/>
          <w:szCs w:val="20"/>
          <w:lang w:eastAsia="it-IT"/>
          <w14:ligatures w14:val="none"/>
        </w:rPr>
      </w:pPr>
      <w:r w:rsidRPr="00E04C2F">
        <w:rPr>
          <w:rFonts w:ascii="Aptos" w:eastAsia="Times New Roman" w:hAnsi="Aptos" w:cs="Aptos"/>
          <w:bCs/>
          <w:kern w:val="0"/>
          <w:sz w:val="20"/>
          <w:szCs w:val="20"/>
          <w:lang w:eastAsia="it-IT"/>
          <w14:ligatures w14:val="none"/>
        </w:rPr>
        <w:t>Note: La voce “Altro” comprende Legno, carta e stampa, apparecchi elettronici, altri settori esportativi, prodotti agricoli, farmaceutica, raffinati ed estrattiva.</w:t>
      </w:r>
    </w:p>
    <w:p w14:paraId="6C34C10F" w14:textId="77777777" w:rsidR="00E04C2F" w:rsidRPr="00E04C2F" w:rsidRDefault="00E04C2F" w:rsidP="00E04C2F">
      <w:pPr>
        <w:spacing w:after="0" w:line="276" w:lineRule="auto"/>
        <w:jc w:val="both"/>
        <w:rPr>
          <w:rFonts w:ascii="Aptos" w:eastAsia="Times New Roman" w:hAnsi="Aptos" w:cs="Aptos"/>
          <w:bCs/>
          <w:kern w:val="0"/>
          <w:sz w:val="20"/>
          <w:szCs w:val="20"/>
          <w:lang w:eastAsia="it-IT"/>
          <w14:ligatures w14:val="none"/>
        </w:rPr>
      </w:pPr>
    </w:p>
    <w:p w14:paraId="3EDF529D" w14:textId="77777777" w:rsidR="00E04C2F" w:rsidRPr="00E04C2F" w:rsidRDefault="00E04C2F" w:rsidP="00E04C2F">
      <w:pPr>
        <w:spacing w:after="120" w:line="276" w:lineRule="auto"/>
        <w:jc w:val="both"/>
      </w:pPr>
      <w:r w:rsidRPr="00E04C2F">
        <w:t xml:space="preserve">A livello di destinazioni, i principali mercati di sbocco per la regione rimangono quelli più vicini geograficamente: tra i primi dieci solo gli Stati Uniti sono al di fuori del continente europeo. La debolezza registrata nell’ultimo biennio è stata diffusa alle più importanti destinazioni di export, con Germania e </w:t>
      </w:r>
      <w:r w:rsidRPr="00E04C2F">
        <w:lastRenderedPageBreak/>
        <w:t>Stati Uniti – primo e terzo mercato – in contrazione</w:t>
      </w:r>
      <w:r w:rsidRPr="00E04C2F">
        <w:rPr>
          <w:rFonts w:ascii="Arial" w:eastAsia="Times New Roman" w:hAnsi="Arial" w:cs="Arial"/>
          <w:kern w:val="0"/>
          <w:sz w:val="24"/>
          <w:szCs w:val="24"/>
          <w:lang w:eastAsia="it-IT"/>
          <w14:ligatures w14:val="none"/>
        </w:rPr>
        <w:t xml:space="preserve"> </w:t>
      </w:r>
      <w:r w:rsidRPr="00E04C2F">
        <w:t>in entrambi gli anni. Francia e Spagna – seconda e quarta destinazione – hanno mostrato performance migliori (Fig. X).</w:t>
      </w:r>
    </w:p>
    <w:p w14:paraId="187115BF" w14:textId="77777777" w:rsidR="00E04C2F" w:rsidRPr="00E04C2F" w:rsidRDefault="00E04C2F" w:rsidP="00E04C2F">
      <w:pPr>
        <w:spacing w:after="120" w:line="276" w:lineRule="auto"/>
        <w:jc w:val="both"/>
      </w:pPr>
      <w:r w:rsidRPr="00E04C2F">
        <w:t>Più dinamiche sono risultate invece alcune geografie ancora meno presidiate. Si tratta ad esempio di Messico e Brasile in America Latina, dove il traino negli ultimi anni è provenuto dalla domanda di meccanica strumentale e altra manifattura; e del Vietnam in Asia, che dopo una flessione nel 2023 ha registrato una crescita di import di beni dal Veneto del 26,4% lo scorso anno grazie soprattutto a tessile e abbigliamento, meccanica strumentale e altra manifattura. Nell’area del Medio Oriente continua la crescita verso gli Emirati Arabi Uniti, spinta da gioielleria così come da strumenti e forniture mediche; ottime le performance anche verso l’Arabia Saudita sul traino di meccanica strumentale e altra manifattura. In Nord Africa si evidenzia in particolare il Marocco, dove oltre la meccanica strumentale si sono registrati incrementi significativi anche per apparecchi elettrici e gomma e plastica.</w:t>
      </w:r>
    </w:p>
    <w:p w14:paraId="455C0984" w14:textId="77777777" w:rsidR="00E04C2F" w:rsidRPr="00E04C2F" w:rsidRDefault="00E04C2F" w:rsidP="00E04C2F">
      <w:pPr>
        <w:spacing w:after="0" w:line="276" w:lineRule="auto"/>
        <w:jc w:val="both"/>
        <w:rPr>
          <w:rFonts w:ascii="Aptos" w:eastAsia="Times New Roman" w:hAnsi="Aptos" w:cs="Aptos"/>
          <w:bCs/>
          <w:kern w:val="0"/>
          <w:sz w:val="20"/>
          <w:szCs w:val="20"/>
          <w:lang w:eastAsia="it-IT"/>
          <w14:ligatures w14:val="none"/>
        </w:rPr>
      </w:pPr>
    </w:p>
    <w:p w14:paraId="76E5F194" w14:textId="77777777" w:rsidR="00E04C2F" w:rsidRPr="00E04C2F" w:rsidRDefault="00E04C2F" w:rsidP="00E04C2F">
      <w:pPr>
        <w:spacing w:line="276" w:lineRule="auto"/>
        <w:jc w:val="both"/>
        <w:rPr>
          <w:rFonts w:ascii="Aptos" w:eastAsia="Times New Roman" w:hAnsi="Aptos" w:cs="Aptos"/>
          <w:b/>
          <w:kern w:val="0"/>
          <w:lang w:eastAsia="it-IT"/>
          <w14:ligatures w14:val="none"/>
        </w:rPr>
      </w:pPr>
      <w:r w:rsidRPr="00E04C2F">
        <w:rPr>
          <w:rFonts w:ascii="Aptos" w:eastAsia="Times New Roman" w:hAnsi="Aptos" w:cs="Aptos"/>
          <w:b/>
          <w:kern w:val="0"/>
          <w:lang w:eastAsia="it-IT"/>
          <w14:ligatures w14:val="none"/>
        </w:rPr>
        <w:t xml:space="preserve">Figura X – Le prime 20 destinazioni dell’export veneto </w:t>
      </w:r>
      <w:r w:rsidRPr="00E04C2F">
        <w:rPr>
          <w:rFonts w:ascii="Aptos" w:eastAsia="Times New Roman" w:hAnsi="Aptos" w:cs="Aptos"/>
          <w:bCs/>
          <w:kern w:val="0"/>
          <w:lang w:eastAsia="it-IT"/>
          <w14:ligatures w14:val="none"/>
        </w:rPr>
        <w:t>(grandezza bolle: export in € mld; asse x: var % 2024; asse y: var % 2024)</w:t>
      </w:r>
    </w:p>
    <w:p w14:paraId="6E71B8CB" w14:textId="77777777" w:rsidR="00E04C2F" w:rsidRPr="00E04C2F" w:rsidRDefault="00E04C2F" w:rsidP="00E04C2F">
      <w:pPr>
        <w:spacing w:line="276" w:lineRule="auto"/>
        <w:jc w:val="center"/>
        <w:rPr>
          <w:rFonts w:ascii="Aptos" w:eastAsia="Times New Roman" w:hAnsi="Aptos" w:cs="Aptos"/>
          <w:bCs/>
          <w:kern w:val="0"/>
          <w:sz w:val="24"/>
          <w:szCs w:val="24"/>
          <w:lang w:eastAsia="it-IT"/>
          <w14:ligatures w14:val="none"/>
        </w:rPr>
      </w:pPr>
      <w:r w:rsidRPr="00E04C2F">
        <w:rPr>
          <w:rFonts w:ascii="Aptos" w:eastAsia="Times New Roman" w:hAnsi="Aptos" w:cs="Aptos"/>
          <w:noProof/>
          <w:kern w:val="0"/>
          <w:sz w:val="24"/>
          <w:szCs w:val="24"/>
          <w:lang w:eastAsia="it-IT"/>
        </w:rPr>
        <w:drawing>
          <wp:inline distT="0" distB="0" distL="0" distR="0" wp14:anchorId="73C03831" wp14:editId="3038AC42">
            <wp:extent cx="4566501" cy="2633286"/>
            <wp:effectExtent l="0" t="0" r="5715" b="0"/>
            <wp:docPr id="38816624" name="Grafico 1">
              <a:extLst xmlns:a="http://schemas.openxmlformats.org/drawingml/2006/main">
                <a:ext uri="{FF2B5EF4-FFF2-40B4-BE49-F238E27FC236}">
                  <a16:creationId xmlns:a16="http://schemas.microsoft.com/office/drawing/2014/main" id="{1EE1A454-3770-4E84-B9B7-6030017087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BCB31AB" w14:textId="77777777" w:rsidR="00E04C2F" w:rsidRPr="00E04C2F" w:rsidRDefault="00E04C2F" w:rsidP="00E04C2F">
      <w:pPr>
        <w:spacing w:after="0" w:line="276" w:lineRule="auto"/>
        <w:jc w:val="both"/>
        <w:rPr>
          <w:rFonts w:ascii="Aptos" w:eastAsia="Times New Roman" w:hAnsi="Aptos" w:cs="Aptos"/>
          <w:bCs/>
          <w:kern w:val="0"/>
          <w:sz w:val="20"/>
          <w:szCs w:val="20"/>
          <w:lang w:eastAsia="it-IT"/>
          <w14:ligatures w14:val="none"/>
        </w:rPr>
      </w:pPr>
      <w:r w:rsidRPr="00E04C2F">
        <w:rPr>
          <w:rFonts w:ascii="Aptos" w:eastAsia="Times New Roman" w:hAnsi="Aptos" w:cs="Aptos"/>
          <w:bCs/>
          <w:kern w:val="0"/>
          <w:sz w:val="20"/>
          <w:szCs w:val="20"/>
          <w:lang w:eastAsia="it-IT"/>
          <w14:ligatures w14:val="none"/>
        </w:rPr>
        <w:t>Fonte: Elaborazioni SACE su dati Istat.</w:t>
      </w:r>
    </w:p>
    <w:p w14:paraId="5D3D3294" w14:textId="77777777" w:rsidR="00E04C2F" w:rsidRPr="00E04C2F" w:rsidRDefault="00E04C2F" w:rsidP="00E04C2F">
      <w:pPr>
        <w:spacing w:after="0" w:line="276" w:lineRule="auto"/>
        <w:jc w:val="both"/>
        <w:rPr>
          <w:rFonts w:ascii="Aptos" w:eastAsia="Times New Roman" w:hAnsi="Aptos" w:cs="Aptos"/>
          <w:bCs/>
          <w:kern w:val="0"/>
          <w:sz w:val="20"/>
          <w:szCs w:val="20"/>
          <w:lang w:eastAsia="it-IT"/>
          <w14:ligatures w14:val="none"/>
        </w:rPr>
      </w:pPr>
      <w:r w:rsidRPr="00E04C2F">
        <w:rPr>
          <w:rFonts w:ascii="Aptos" w:eastAsia="Times New Roman" w:hAnsi="Aptos" w:cs="Aptos"/>
          <w:bCs/>
          <w:kern w:val="0"/>
          <w:sz w:val="20"/>
          <w:szCs w:val="20"/>
          <w:lang w:eastAsia="it-IT"/>
          <w14:ligatures w14:val="none"/>
        </w:rPr>
        <w:t>Note: Il tasso di crescita dell’export veneto verso la Turchia è stato ridotto per una migliore visibilità del grafico (il tasso corretto è pari a +25,7%).</w:t>
      </w:r>
    </w:p>
    <w:p w14:paraId="0FCA4038" w14:textId="77777777" w:rsidR="00E04C2F" w:rsidRPr="00E04C2F" w:rsidRDefault="00E04C2F" w:rsidP="00E04C2F">
      <w:pPr>
        <w:spacing w:line="276" w:lineRule="auto"/>
        <w:jc w:val="both"/>
        <w:rPr>
          <w:rFonts w:ascii="Aptos" w:eastAsia="Times New Roman" w:hAnsi="Aptos" w:cs="Aptos"/>
          <w:bCs/>
          <w:kern w:val="0"/>
          <w:sz w:val="24"/>
          <w:szCs w:val="24"/>
          <w:lang w:eastAsia="it-IT"/>
          <w14:ligatures w14:val="none"/>
        </w:rPr>
      </w:pPr>
    </w:p>
    <w:p w14:paraId="1EEA263A" w14:textId="383EA9F9" w:rsidR="00E04C2F" w:rsidRDefault="00E04C2F" w:rsidP="00E04C2F">
      <w:pPr>
        <w:rPr>
          <w:bCs/>
        </w:rPr>
      </w:pPr>
      <w:r w:rsidRPr="009F1638">
        <w:rPr>
          <w:rFonts w:ascii="Aptos" w:eastAsia="Times New Roman" w:hAnsi="Aptos" w:cs="Aptos"/>
          <w:bCs/>
          <w:kern w:val="0"/>
          <w:lang w:eastAsia="it-IT"/>
          <w14:ligatures w14:val="none"/>
        </w:rPr>
        <w:t>Le imprese di Treviso, Padova, Venezia e Rovigo, le province oggetto di questa indagine, hanno esportato beni per un valore di 37,2 miliardi di euro nel 2024, pari a quasi la metà di tutti i beni venduti oltreconfine dalla regione. L’andamento dell’ultimo biennio è stato pari a -0,7% nel 2023 e -2,5% nel 2024. Padova ha segnato una performance superiore alla media (rispettivamente +3,8% e -0,4%) – dove altra manifattura e apparecchi elettrici hanno sostenuto l’andamento dell’export in entrambi gli anni – a fronte di cali più mar</w:t>
      </w:r>
      <w:r w:rsidR="009F1638" w:rsidRPr="009F1638">
        <w:rPr>
          <w:bCs/>
        </w:rPr>
        <w:t xml:space="preserve"> marcati nelle altre tre province.</w:t>
      </w:r>
    </w:p>
    <w:p w14:paraId="7003970E" w14:textId="54C6E441" w:rsidR="009F1638" w:rsidRDefault="009F1638">
      <w:pPr>
        <w:rPr>
          <w:bCs/>
        </w:rPr>
      </w:pPr>
      <w:r>
        <w:rPr>
          <w:bCs/>
        </w:rPr>
        <w:br w:type="page"/>
      </w:r>
    </w:p>
    <w:p w14:paraId="1E5C0B0D" w14:textId="5956CA0A" w:rsidR="00D94496" w:rsidRPr="00B47608" w:rsidRDefault="00D94496" w:rsidP="00ED2A57">
      <w:pPr>
        <w:pStyle w:val="Titolo2"/>
        <w:spacing w:after="0"/>
        <w:rPr>
          <w:rFonts w:asciiTheme="minorHAnsi" w:hAnsiTheme="minorHAnsi"/>
        </w:rPr>
      </w:pPr>
      <w:bookmarkStart w:id="9" w:name="_Toc193106856"/>
      <w:r w:rsidRPr="00B47608">
        <w:rPr>
          <w:rFonts w:asciiTheme="minorHAnsi" w:hAnsiTheme="minorHAnsi"/>
        </w:rPr>
        <w:lastRenderedPageBreak/>
        <w:t>Introduzione</w:t>
      </w:r>
      <w:r w:rsidR="003508EC">
        <w:rPr>
          <w:rFonts w:asciiTheme="minorHAnsi" w:hAnsiTheme="minorHAnsi"/>
        </w:rPr>
        <w:t xml:space="preserve"> all’indagine</w:t>
      </w:r>
      <w:r w:rsidR="004B51D1">
        <w:rPr>
          <w:rFonts w:asciiTheme="minorHAnsi" w:hAnsiTheme="minorHAnsi"/>
        </w:rPr>
        <w:t xml:space="preserve"> Osservatorio Export</w:t>
      </w:r>
      <w:bookmarkEnd w:id="9"/>
    </w:p>
    <w:p w14:paraId="0CF22D2D" w14:textId="77777777" w:rsidR="00D94496" w:rsidRPr="00B47608" w:rsidRDefault="00D94496" w:rsidP="00ED2A57">
      <w:pPr>
        <w:spacing w:after="0"/>
      </w:pPr>
    </w:p>
    <w:p w14:paraId="3EE04C5F" w14:textId="277DFEEA" w:rsidR="00825A82" w:rsidRPr="00B47608" w:rsidRDefault="00D94496" w:rsidP="00825A82">
      <w:pPr>
        <w:spacing w:after="0"/>
        <w:jc w:val="both"/>
      </w:pPr>
      <w:r w:rsidRPr="00B47608">
        <w:t>Nel 2023 l’Italia ha registrato un volume delle esportazioni sostanzialmente in linea con l’anno precedente (-0,04%). Il Veneto (che genera più del 13% delle esportazioni nazionali) ha visto un arretramento dello 0,7%. Nel contesto regionale le esportazioni della provincia di Padova sono cresciute del 3,6%, quelle delle altre tre provincie sulle quali insiste Confindustria Veneto Est ha</w:t>
      </w:r>
      <w:r w:rsidR="009E646C" w:rsidRPr="00B47608">
        <w:t>nno</w:t>
      </w:r>
      <w:r w:rsidRPr="00B47608">
        <w:t xml:space="preserve"> segnato arretramenti del 4,9% a Rovigo, dell’1,5% a Treviso e del 5,6% a Venezia. Tutti dati che evidenziano una frenata della crescita delle esportazioni che è confermata anche dai dati (provvisori) relativi </w:t>
      </w:r>
      <w:r w:rsidR="00C1403E" w:rsidRPr="00B47608">
        <w:t>al</w:t>
      </w:r>
      <w:r w:rsidRPr="00B47608">
        <w:t xml:space="preserve"> 2024. </w:t>
      </w:r>
      <w:r w:rsidR="006D7521" w:rsidRPr="00B47608">
        <w:t>Durante l’anno</w:t>
      </w:r>
      <w:r w:rsidRPr="00B47608">
        <w:t xml:space="preserve"> le esportazioni del Veneto sono diminuite, rispetto allo stesso periodo dell’anno precedente, del</w:t>
      </w:r>
      <w:r w:rsidR="00825A82" w:rsidRPr="00B47608">
        <w:t xml:space="preserve">ll’1,8% -0,4% il dato di Padova, -2% Rovigo, arretrano anche Treviso (-1,7%) e Venezia (-9%). </w:t>
      </w:r>
    </w:p>
    <w:p w14:paraId="1339C08E" w14:textId="3DDEB486" w:rsidR="002B1417" w:rsidRPr="00B47608" w:rsidRDefault="002B1417" w:rsidP="00ED2A57">
      <w:pPr>
        <w:spacing w:after="0"/>
        <w:jc w:val="both"/>
      </w:pPr>
    </w:p>
    <w:p w14:paraId="4902A19C" w14:textId="6CC3B0F7" w:rsidR="00614050" w:rsidRPr="00B47608" w:rsidRDefault="00926A11" w:rsidP="00ED2A57">
      <w:pPr>
        <w:spacing w:after="0"/>
        <w:jc w:val="both"/>
      </w:pPr>
      <w:r w:rsidRPr="00B47608">
        <w:t>I dati relativi ai primi nove mesi del 2024 sono influenzati negativamente dalle esportazioni verso la Germania</w:t>
      </w:r>
      <w:r w:rsidR="00830951" w:rsidRPr="00B47608">
        <w:t xml:space="preserve">, paese che nel 2023 ha </w:t>
      </w:r>
      <w:r w:rsidR="00190DDE" w:rsidRPr="00B47608">
        <w:t>assorbito</w:t>
      </w:r>
      <w:r w:rsidR="00830951" w:rsidRPr="00B47608">
        <w:t xml:space="preserve"> </w:t>
      </w:r>
      <w:r w:rsidR="00122D6C" w:rsidRPr="00B47608">
        <w:t>quasi il 14% delle esportazioni totali della regione</w:t>
      </w:r>
      <w:r w:rsidR="00C61656" w:rsidRPr="00B47608">
        <w:t xml:space="preserve"> e che </w:t>
      </w:r>
      <w:r w:rsidR="00825A82" w:rsidRPr="00B47608">
        <w:t>nel 2024</w:t>
      </w:r>
      <w:r w:rsidR="00884B41" w:rsidRPr="00B47608">
        <w:t xml:space="preserve"> ha registrato una riduzione delle esportazioni del </w:t>
      </w:r>
      <w:r w:rsidR="004112E8" w:rsidRPr="00B47608">
        <w:t>5</w:t>
      </w:r>
      <w:r w:rsidR="00884B41" w:rsidRPr="00B47608">
        <w:t>,</w:t>
      </w:r>
      <w:r w:rsidR="004112E8" w:rsidRPr="00B47608">
        <w:t>5</w:t>
      </w:r>
      <w:r w:rsidR="00884B41" w:rsidRPr="00B47608">
        <w:t>%</w:t>
      </w:r>
      <w:r w:rsidR="00122D6C" w:rsidRPr="00B47608">
        <w:t xml:space="preserve">. </w:t>
      </w:r>
    </w:p>
    <w:p w14:paraId="751DC5A2" w14:textId="77777777" w:rsidR="00122D6C" w:rsidRPr="00B47608" w:rsidRDefault="00122D6C" w:rsidP="00ED2A57">
      <w:pPr>
        <w:spacing w:after="0"/>
        <w:jc w:val="both"/>
      </w:pPr>
    </w:p>
    <w:p w14:paraId="7CDC8DD9" w14:textId="04FFAEDF" w:rsidR="001719D5" w:rsidRPr="00B47608" w:rsidRDefault="00874EC1" w:rsidP="001719D5">
      <w:pPr>
        <w:spacing w:after="0"/>
        <w:jc w:val="both"/>
      </w:pPr>
      <w:r w:rsidRPr="00B47608">
        <w:t xml:space="preserve">A cosa è dovuto il rallentamento delle esportazioni? Certo, pesa </w:t>
      </w:r>
      <w:r w:rsidR="00867B78" w:rsidRPr="00B47608">
        <w:t>la brusca frenata dell’economia tedesca</w:t>
      </w:r>
      <w:r w:rsidR="001719D5" w:rsidRPr="00B47608">
        <w:t xml:space="preserve"> </w:t>
      </w:r>
      <w:r w:rsidR="007F3833" w:rsidRPr="00B47608">
        <w:t>che risente del</w:t>
      </w:r>
      <w:r w:rsidR="001719D5" w:rsidRPr="00B47608">
        <w:t xml:space="preserve">l'aumento dei prezzi del gas, </w:t>
      </w:r>
      <w:r w:rsidR="007F3833" w:rsidRPr="00B47608">
        <w:t>del</w:t>
      </w:r>
      <w:r w:rsidR="001719D5" w:rsidRPr="00B47608">
        <w:t xml:space="preserve">la debolezza della domanda globale di beni industriali e </w:t>
      </w:r>
      <w:r w:rsidR="007F3833" w:rsidRPr="00B47608">
        <w:t>del</w:t>
      </w:r>
      <w:r w:rsidR="001719D5" w:rsidRPr="00B47608">
        <w:t>le difficoltà del settore automobilistico. L'aumento dei prezzi del gas, innescato dall'invasione russa dell'Ucraina, ha colpito duramente le industrie tedesche ad alta intensità energetica. La debolezza della domanda globale ha penalizzato maggiormente la Germania a causa della sua elevata esposizione al commercio estero, in particolare verso la Cina. Infine, le difficoltà del settore automobilistico, che rappresenta una quota significativa dell'attività manifatturiera tedesca, hanno pesato sull'intera economia</w:t>
      </w:r>
      <w:r w:rsidR="00B754E0" w:rsidRPr="00B47608">
        <w:t xml:space="preserve"> (</w:t>
      </w:r>
      <w:proofErr w:type="spellStart"/>
      <w:r w:rsidR="00B754E0" w:rsidRPr="00B47608">
        <w:t>Flaccadoro</w:t>
      </w:r>
      <w:proofErr w:type="spellEnd"/>
      <w:r w:rsidR="00B754E0" w:rsidRPr="00B47608">
        <w:t>, 2024)</w:t>
      </w:r>
      <w:r w:rsidR="001719D5" w:rsidRPr="00B47608">
        <w:t>.</w:t>
      </w:r>
      <w:r w:rsidR="00B754E0" w:rsidRPr="00B47608">
        <w:t xml:space="preserve"> L</w:t>
      </w:r>
      <w:r w:rsidR="001719D5" w:rsidRPr="00B47608">
        <w:t>a debolezza del manifatturiero tedesco si ripercuot</w:t>
      </w:r>
      <w:r w:rsidR="00E15EF5" w:rsidRPr="00B47608">
        <w:t>e</w:t>
      </w:r>
      <w:r w:rsidR="001719D5" w:rsidRPr="00B47608">
        <w:t xml:space="preserve"> su altri paesi europei, in particolare sull'Italia, a causa della sua stretta integrazione con l'economia tedesca</w:t>
      </w:r>
      <w:r w:rsidR="00B754E0" w:rsidRPr="00B47608">
        <w:t xml:space="preserve"> e l</w:t>
      </w:r>
      <w:r w:rsidR="001719D5" w:rsidRPr="00B47608">
        <w:t>e ricadute sono significative soprattutto nei settori dei beni capitali, intermedi e di consumo durevole</w:t>
      </w:r>
      <w:r w:rsidR="00B754E0" w:rsidRPr="00B47608">
        <w:t xml:space="preserve"> che sono alcuni dei settori di specializzazione della manifattura del Nord Italia. </w:t>
      </w:r>
      <w:r w:rsidR="001719D5" w:rsidRPr="00B47608">
        <w:t>Le prospettive future del settore manifatturiero tedesco rimangono incerte e dipendono da diversi fattori, tra cui l'evoluzione dei prezzi dell'energia, la domanda globale, la concorrenza internazionale e le politiche economiche. La capacità delle imprese tedesche di adattarsi a queste sfide sarà cruciale</w:t>
      </w:r>
      <w:r w:rsidR="00BD5528" w:rsidRPr="00B47608">
        <w:t xml:space="preserve"> non solo</w:t>
      </w:r>
      <w:r w:rsidR="001719D5" w:rsidRPr="00B47608">
        <w:t xml:space="preserve"> per il loro successo</w:t>
      </w:r>
      <w:r w:rsidR="00BD5528" w:rsidRPr="00B47608">
        <w:t xml:space="preserve"> ma anche </w:t>
      </w:r>
      <w:r w:rsidR="001719D5" w:rsidRPr="00B47608">
        <w:t>per la stabilità economica dell'area euro</w:t>
      </w:r>
      <w:r w:rsidR="007B6362" w:rsidRPr="00B47608">
        <w:t xml:space="preserve"> e di paesi come l’Italia che sono fortemente legati alle catene del valore manifatturiere </w:t>
      </w:r>
      <w:r w:rsidR="0068632D" w:rsidRPr="00B47608">
        <w:t>in cui le imprese tedesche giocano un ruolo rilevante</w:t>
      </w:r>
      <w:r w:rsidR="001719D5" w:rsidRPr="00B47608">
        <w:t>.</w:t>
      </w:r>
    </w:p>
    <w:p w14:paraId="54C8AE23" w14:textId="77777777" w:rsidR="001719D5" w:rsidRPr="00B47608" w:rsidRDefault="001719D5" w:rsidP="00ED2A57">
      <w:pPr>
        <w:spacing w:after="0"/>
        <w:jc w:val="both"/>
      </w:pPr>
    </w:p>
    <w:p w14:paraId="3880F4A5" w14:textId="7E98E903" w:rsidR="00E50899" w:rsidRPr="00B47608" w:rsidRDefault="0068632D" w:rsidP="00E50899">
      <w:pPr>
        <w:spacing w:after="0"/>
        <w:jc w:val="both"/>
      </w:pPr>
      <w:r w:rsidRPr="00B47608">
        <w:t xml:space="preserve">La crisi della Germania non è l’unico fattore che incide sul rallentamento dell’export della regione. </w:t>
      </w:r>
      <w:r w:rsidR="005A5C29" w:rsidRPr="00B47608">
        <w:t>U</w:t>
      </w:r>
      <w:r w:rsidR="008F4AED" w:rsidRPr="00B47608">
        <w:t xml:space="preserve">na serie di fattori stanno rapidamente cambiando gli scenari internazionali. </w:t>
      </w:r>
      <w:r w:rsidR="00AA16C4" w:rsidRPr="00B47608">
        <w:t xml:space="preserve">Uno tra questi è il </w:t>
      </w:r>
      <w:r w:rsidR="00E50899" w:rsidRPr="00B47608">
        <w:t>disaccoppiamento, o "decoupling", definito come il processo di indebolimento dell'interdipendenza tra due nazioni o blocchi di nazioni</w:t>
      </w:r>
      <w:r w:rsidR="001C3B35" w:rsidRPr="00B47608">
        <w:t>, un</w:t>
      </w:r>
      <w:r w:rsidR="00E50899" w:rsidRPr="00B47608">
        <w:t xml:space="preserve"> concetto </w:t>
      </w:r>
      <w:r w:rsidR="00B12323" w:rsidRPr="00B47608">
        <w:t xml:space="preserve">che </w:t>
      </w:r>
      <w:r w:rsidR="00E50899" w:rsidRPr="00B47608">
        <w:t xml:space="preserve">si applica alle relazioni tra nazioni specifiche o </w:t>
      </w:r>
      <w:r w:rsidR="001C3B35" w:rsidRPr="00B47608">
        <w:t xml:space="preserve">alle relazioni tra </w:t>
      </w:r>
      <w:r w:rsidR="00E50899" w:rsidRPr="00B47608">
        <w:t>blocchi economici</w:t>
      </w:r>
      <w:r w:rsidR="001C3B35" w:rsidRPr="00B47608">
        <w:t xml:space="preserve">. </w:t>
      </w:r>
      <w:r w:rsidR="00F60CB2" w:rsidRPr="00B47608">
        <w:t xml:space="preserve">Se guardiamo a quanto sta succedendo </w:t>
      </w:r>
      <w:r w:rsidR="00FE368D" w:rsidRPr="00B47608">
        <w:t xml:space="preserve">alle relazioni economiche tra </w:t>
      </w:r>
      <w:r w:rsidR="00E50899" w:rsidRPr="00B47608">
        <w:t>Cina e Stati Uniti</w:t>
      </w:r>
      <w:r w:rsidR="002A6A3C" w:rsidRPr="00B47608">
        <w:t xml:space="preserve"> l’</w:t>
      </w:r>
      <w:r w:rsidR="00E50899" w:rsidRPr="00B47608">
        <w:t>evidenza empirica suggerisce che il "decoupling" tra Cina e Stati Uniti è in atto da oltre un decennio</w:t>
      </w:r>
      <w:r w:rsidR="002A6A3C" w:rsidRPr="00B47608">
        <w:t xml:space="preserve">. </w:t>
      </w:r>
    </w:p>
    <w:p w14:paraId="7090554E" w14:textId="50C5F171" w:rsidR="00C4344A" w:rsidRPr="00B47608" w:rsidRDefault="00EA612C" w:rsidP="00E50899">
      <w:pPr>
        <w:spacing w:after="0"/>
        <w:jc w:val="both"/>
      </w:pPr>
      <w:r w:rsidRPr="00B47608">
        <w:t>L’i</w:t>
      </w:r>
      <w:r w:rsidR="00C4344A" w:rsidRPr="00B47608">
        <w:t xml:space="preserve">mpatto </w:t>
      </w:r>
      <w:r w:rsidR="00AB5C60" w:rsidRPr="00B47608">
        <w:t xml:space="preserve">che sta producendo il “decoupling” è </w:t>
      </w:r>
      <w:r w:rsidR="00C4344A" w:rsidRPr="00B47608">
        <w:t>differenziato</w:t>
      </w:r>
      <w:r w:rsidR="00932723" w:rsidRPr="00B47608">
        <w:t xml:space="preserve"> a seconda dei settori produttivi e dipende principalmente da due fattori: </w:t>
      </w:r>
      <w:r w:rsidR="00C4344A" w:rsidRPr="00B47608">
        <w:t xml:space="preserve">l'importanza strategica </w:t>
      </w:r>
      <w:r w:rsidR="0066704E" w:rsidRPr="00B47608">
        <w:t xml:space="preserve">di un settore </w:t>
      </w:r>
      <w:r w:rsidR="00C4344A" w:rsidRPr="00B47608">
        <w:t xml:space="preserve">e </w:t>
      </w:r>
      <w:r w:rsidR="0066704E" w:rsidRPr="00B47608">
        <w:t>le</w:t>
      </w:r>
      <w:r w:rsidR="00C4344A" w:rsidRPr="00B47608">
        <w:t xml:space="preserve"> capacità</w:t>
      </w:r>
      <w:r w:rsidR="00EC046E" w:rsidRPr="00B47608">
        <w:t>/</w:t>
      </w:r>
      <w:r w:rsidR="0066704E" w:rsidRPr="00B47608">
        <w:t xml:space="preserve">possibilità di attivare percorsi </w:t>
      </w:r>
      <w:r w:rsidR="00C4344A" w:rsidRPr="00B47608">
        <w:t xml:space="preserve">di </w:t>
      </w:r>
      <w:proofErr w:type="spellStart"/>
      <w:r w:rsidR="00C4344A" w:rsidRPr="00B47608">
        <w:t>reshoring</w:t>
      </w:r>
      <w:proofErr w:type="spellEnd"/>
      <w:r w:rsidR="00DB6E5F" w:rsidRPr="00B47608">
        <w:t>.</w:t>
      </w:r>
      <w:r w:rsidR="00CA151A" w:rsidRPr="00B47608">
        <w:t xml:space="preserve"> </w:t>
      </w:r>
      <w:r w:rsidR="00DB6E5F" w:rsidRPr="00B47608">
        <w:t xml:space="preserve">Se </w:t>
      </w:r>
      <w:r w:rsidR="00CA151A" w:rsidRPr="00B47608">
        <w:t>la</w:t>
      </w:r>
      <w:r w:rsidR="007F236E" w:rsidRPr="00B47608">
        <w:t xml:space="preserve"> "</w:t>
      </w:r>
      <w:proofErr w:type="spellStart"/>
      <w:r w:rsidR="007F236E" w:rsidRPr="00B47608">
        <w:t>reshorability</w:t>
      </w:r>
      <w:proofErr w:type="spellEnd"/>
      <w:r w:rsidR="007F236E" w:rsidRPr="00B47608">
        <w:t>"</w:t>
      </w:r>
      <w:r w:rsidR="00DB6E5F" w:rsidRPr="00B47608">
        <w:t>,</w:t>
      </w:r>
      <w:r w:rsidR="007F236E" w:rsidRPr="00B47608">
        <w:t xml:space="preserve"> ovvero la capacità di riportare le attività produttive nel paese d'origine</w:t>
      </w:r>
      <w:r w:rsidR="00DB6E5F" w:rsidRPr="00B47608">
        <w:t>,</w:t>
      </w:r>
      <w:r w:rsidR="00E553AC" w:rsidRPr="00B47608">
        <w:t xml:space="preserve"> è alta, le imprese possono riportare le attività negli Stati Uniti, se è bassa, è probabile che le aziende pratichino il "friend-</w:t>
      </w:r>
      <w:proofErr w:type="spellStart"/>
      <w:r w:rsidR="00E553AC" w:rsidRPr="00B47608">
        <w:t>shoring</w:t>
      </w:r>
      <w:proofErr w:type="spellEnd"/>
      <w:r w:rsidR="00E553AC" w:rsidRPr="00B47608">
        <w:t xml:space="preserve">", ovvero la </w:t>
      </w:r>
      <w:r w:rsidR="00A37431">
        <w:t>rilocalizzazione</w:t>
      </w:r>
      <w:r w:rsidR="00E553AC" w:rsidRPr="00B47608">
        <w:t xml:space="preserve"> in paesi alleati</w:t>
      </w:r>
      <w:r w:rsidR="00E82570" w:rsidRPr="00B47608">
        <w:t xml:space="preserve">. </w:t>
      </w:r>
      <w:r w:rsidR="00CA6391" w:rsidRPr="00B47608">
        <w:t>Uno schema semplificato aiuta a cogliere le dinamiche in corso</w:t>
      </w:r>
      <w:r w:rsidR="00CA6391" w:rsidRPr="00B47608">
        <w:rPr>
          <w:shd w:val="clear" w:color="auto" w:fill="FFFFFF" w:themeFill="background1"/>
        </w:rPr>
        <w:t xml:space="preserve">: </w:t>
      </w:r>
      <w:r w:rsidR="0032771F" w:rsidRPr="00B47608">
        <w:rPr>
          <w:shd w:val="clear" w:color="auto" w:fill="FFFFFF" w:themeFill="background1"/>
        </w:rPr>
        <w:t>per i settori con alta importanza strategica</w:t>
      </w:r>
      <w:r w:rsidR="00A2526A" w:rsidRPr="00B47608">
        <w:rPr>
          <w:shd w:val="clear" w:color="auto" w:fill="FFFFFF" w:themeFill="background1"/>
        </w:rPr>
        <w:t xml:space="preserve"> </w:t>
      </w:r>
      <w:r w:rsidR="00EC046E" w:rsidRPr="00B47608">
        <w:rPr>
          <w:shd w:val="clear" w:color="auto" w:fill="FFFFFF" w:themeFill="background1"/>
        </w:rPr>
        <w:t>come</w:t>
      </w:r>
      <w:r w:rsidR="00E553AC" w:rsidRPr="00B47608">
        <w:rPr>
          <w:shd w:val="clear" w:color="auto" w:fill="FFFFFF" w:themeFill="background1"/>
        </w:rPr>
        <w:t xml:space="preserve"> i</w:t>
      </w:r>
      <w:r w:rsidR="00A2526A" w:rsidRPr="00B47608">
        <w:rPr>
          <w:shd w:val="clear" w:color="auto" w:fill="FFFFFF" w:themeFill="background1"/>
        </w:rPr>
        <w:t xml:space="preserve"> </w:t>
      </w:r>
      <w:r w:rsidR="00A2526A" w:rsidRPr="00B47608">
        <w:rPr>
          <w:shd w:val="clear" w:color="auto" w:fill="FFFFFF" w:themeFill="background1"/>
        </w:rPr>
        <w:lastRenderedPageBreak/>
        <w:t>semiconduttori e tecnologie digitali</w:t>
      </w:r>
      <w:r w:rsidR="0032771F" w:rsidRPr="00B47608">
        <w:rPr>
          <w:shd w:val="clear" w:color="auto" w:fill="FFFFFF" w:themeFill="background1"/>
        </w:rPr>
        <w:t xml:space="preserve">, è sempre più probabile </w:t>
      </w:r>
      <w:r w:rsidR="003B251E" w:rsidRPr="00B47608">
        <w:rPr>
          <w:shd w:val="clear" w:color="auto" w:fill="FFFFFF" w:themeFill="background1"/>
        </w:rPr>
        <w:t xml:space="preserve">il </w:t>
      </w:r>
      <w:proofErr w:type="spellStart"/>
      <w:r w:rsidR="003B251E" w:rsidRPr="00B47608">
        <w:rPr>
          <w:shd w:val="clear" w:color="auto" w:fill="FFFFFF" w:themeFill="background1"/>
        </w:rPr>
        <w:t>reshoring</w:t>
      </w:r>
      <w:proofErr w:type="spellEnd"/>
      <w:r w:rsidR="003B251E" w:rsidRPr="00B47608">
        <w:rPr>
          <w:shd w:val="clear" w:color="auto" w:fill="FFFFFF" w:themeFill="background1"/>
        </w:rPr>
        <w:t xml:space="preserve"> delle</w:t>
      </w:r>
      <w:r w:rsidR="0032771F" w:rsidRPr="00B47608">
        <w:rPr>
          <w:shd w:val="clear" w:color="auto" w:fill="FFFFFF" w:themeFill="background1"/>
        </w:rPr>
        <w:t xml:space="preserve"> produzion</w:t>
      </w:r>
      <w:r w:rsidR="003B251E" w:rsidRPr="00B47608">
        <w:rPr>
          <w:shd w:val="clear" w:color="auto" w:fill="FFFFFF" w:themeFill="background1"/>
        </w:rPr>
        <w:t>i</w:t>
      </w:r>
      <w:r w:rsidR="000E065A" w:rsidRPr="00B47608">
        <w:rPr>
          <w:shd w:val="clear" w:color="auto" w:fill="FFFFFF" w:themeFill="background1"/>
        </w:rPr>
        <w:t xml:space="preserve"> controllate dalle imprese sta</w:t>
      </w:r>
      <w:r w:rsidR="009B3246" w:rsidRPr="00B47608">
        <w:rPr>
          <w:shd w:val="clear" w:color="auto" w:fill="FFFFFF" w:themeFill="background1"/>
        </w:rPr>
        <w:t>tunitensi</w:t>
      </w:r>
      <w:r w:rsidR="0032771F" w:rsidRPr="00B47608">
        <w:rPr>
          <w:shd w:val="clear" w:color="auto" w:fill="FFFFFF" w:themeFill="background1"/>
        </w:rPr>
        <w:t xml:space="preserve">. </w:t>
      </w:r>
      <w:r w:rsidR="00E82570" w:rsidRPr="00B47608">
        <w:t>I settori con bassa importanza strategica potrebbero, invece, continuare a produrre in Cina.</w:t>
      </w:r>
    </w:p>
    <w:p w14:paraId="4DC1BDE2" w14:textId="77777777" w:rsidR="00356A0A" w:rsidRPr="00B47608" w:rsidRDefault="00356A0A" w:rsidP="00E50899">
      <w:pPr>
        <w:spacing w:after="0"/>
        <w:jc w:val="both"/>
      </w:pPr>
    </w:p>
    <w:p w14:paraId="372CA7C6" w14:textId="19C54CE6" w:rsidR="00356A0A" w:rsidRPr="00B47608" w:rsidRDefault="00026410" w:rsidP="00356A0A">
      <w:pPr>
        <w:spacing w:after="0"/>
        <w:jc w:val="both"/>
      </w:pPr>
      <w:r w:rsidRPr="00B47608">
        <w:t xml:space="preserve">In termini più generali il </w:t>
      </w:r>
      <w:r w:rsidR="00356A0A" w:rsidRPr="00B47608">
        <w:t>decoupling</w:t>
      </w:r>
      <w:r w:rsidRPr="00B47608">
        <w:t xml:space="preserve"> </w:t>
      </w:r>
      <w:r w:rsidR="00356A0A" w:rsidRPr="00B47608">
        <w:t xml:space="preserve">sta </w:t>
      </w:r>
      <w:r w:rsidRPr="00B47608">
        <w:t>producendo</w:t>
      </w:r>
      <w:r w:rsidR="00356A0A" w:rsidRPr="00B47608">
        <w:t xml:space="preserve"> diverse conseguenze significative.</w:t>
      </w:r>
      <w:r w:rsidRPr="00B47608">
        <w:t xml:space="preserve"> In</w:t>
      </w:r>
      <w:r w:rsidR="00356A0A" w:rsidRPr="00B47608">
        <w:t>nanzitutto, si assiste a un aumento del protezionismo. I governi stanno reintroducendo strumenti come dazi doganali, limitazioni agli investimenti esteri, restrizioni all'export di tecnologie considerate strategiche e "liste nere" di aziende straniere. Queste misure sono esempi concreti di politiche che mirano a ridurre l'integrazione economica con altri paesi.</w:t>
      </w:r>
    </w:p>
    <w:p w14:paraId="59261305" w14:textId="2B840B7E" w:rsidR="00356A0A" w:rsidRPr="00B47608" w:rsidRDefault="00356A0A" w:rsidP="00356A0A">
      <w:pPr>
        <w:spacing w:after="0"/>
        <w:jc w:val="both"/>
      </w:pPr>
      <w:r w:rsidRPr="00B47608">
        <w:t xml:space="preserve">Inoltre, il decoupling sta portando a una riorganizzazione delle catene del valore globali. Le aziende, preoccupate per l'incertezza geopolitica e i rischi legati alla dipendenza da un unico fornitore, stanno cercando di diversificare i loro approvvigionamenti. Infine, il decoupling sta incentivando una spinta verso l'autosufficienza. Governi e aziende, soprattutto nei settori strategici come quello dei semiconduttori e delle tecnologie digitali, stanno cercando di rafforzare la produzione interna. </w:t>
      </w:r>
    </w:p>
    <w:p w14:paraId="3ABFEE7A" w14:textId="77777777" w:rsidR="001060CC" w:rsidRPr="00B47608" w:rsidRDefault="001060CC" w:rsidP="00ED2A57">
      <w:pPr>
        <w:spacing w:after="0"/>
        <w:jc w:val="both"/>
      </w:pPr>
    </w:p>
    <w:p w14:paraId="63061B8A" w14:textId="0A2CAECA" w:rsidR="00683D17" w:rsidRPr="00B47608" w:rsidRDefault="0036589A" w:rsidP="00ED2A57">
      <w:pPr>
        <w:spacing w:after="0"/>
        <w:jc w:val="both"/>
      </w:pPr>
      <w:r w:rsidRPr="00B47608">
        <w:t>Il quadro fin qui tratteggiato</w:t>
      </w:r>
      <w:r w:rsidR="00E55624" w:rsidRPr="00B47608">
        <w:t xml:space="preserve"> fa emergere come, a livello internazionale, si stia attraversando una nuova fase economica</w:t>
      </w:r>
      <w:r w:rsidR="004D25B3" w:rsidRPr="00B47608">
        <w:t>,</w:t>
      </w:r>
      <w:r w:rsidR="00E55624" w:rsidRPr="00B47608">
        <w:t xml:space="preserve"> quella </w:t>
      </w:r>
      <w:r w:rsidR="00226DB5" w:rsidRPr="00B47608">
        <w:t>dell’</w:t>
      </w:r>
      <w:r w:rsidR="002D3805" w:rsidRPr="00B47608">
        <w:t>interdipendenza selettiva, una forma di adattamento al disaccoppiamento, in cui le aziende e i paesi cercano di bilanciare la necessità di autonomia strategica con la collaborazione in settori chiave con partner affidabili.</w:t>
      </w:r>
      <w:r w:rsidRPr="00B47608">
        <w:t xml:space="preserve"> </w:t>
      </w:r>
      <w:r w:rsidR="008F4AED" w:rsidRPr="00B47608">
        <w:t xml:space="preserve">Per </w:t>
      </w:r>
      <w:r w:rsidR="00C8004D" w:rsidRPr="00B47608">
        <w:t>rilevare come le imprese stiano vivendo questa nuova situazione la rilevazione 2024 dell’Osservatorio si è concentrata sul futuro</w:t>
      </w:r>
      <w:r w:rsidR="00680CE7" w:rsidRPr="00B47608">
        <w:t xml:space="preserve">. </w:t>
      </w:r>
      <w:r w:rsidR="00FD1093" w:rsidRPr="00B47608">
        <w:t xml:space="preserve">Come stanno interpretando le imprese </w:t>
      </w:r>
      <w:r w:rsidR="009B5662" w:rsidRPr="00B47608">
        <w:t>i grandi cambiamenti che stiamo vivendo? Che strategie stanno mettendo in atto?</w:t>
      </w:r>
      <w:r w:rsidR="00075C2C" w:rsidRPr="00B47608">
        <w:t xml:space="preserve"> Come sta impattando la crisi del mercato tedesco? A questi temi </w:t>
      </w:r>
      <w:r w:rsidR="001F04B7" w:rsidRPr="00B47608">
        <w:t xml:space="preserve">è dedicata la parte centrale del Rapporto 2024, in particolare </w:t>
      </w:r>
      <w:r w:rsidR="00075C2C" w:rsidRPr="00B47608">
        <w:t>il capitolo 2 e il capitolo 3</w:t>
      </w:r>
      <w:r w:rsidR="00C70FA6" w:rsidRPr="00B47608">
        <w:t xml:space="preserve"> mentre nel capitolo 4 viene analizzato l’impatto che i grandi cambiamenti degli ultimi anni (</w:t>
      </w:r>
      <w:proofErr w:type="spellStart"/>
      <w:r w:rsidR="00C70FA6" w:rsidRPr="00B47608">
        <w:t>reshoring</w:t>
      </w:r>
      <w:proofErr w:type="spellEnd"/>
      <w:r w:rsidR="00C70FA6" w:rsidRPr="00B47608">
        <w:t xml:space="preserve">, </w:t>
      </w:r>
      <w:proofErr w:type="spellStart"/>
      <w:r w:rsidR="00C70FA6" w:rsidRPr="00B47608">
        <w:t>friendshoring</w:t>
      </w:r>
      <w:proofErr w:type="spellEnd"/>
      <w:r w:rsidR="00C70FA6" w:rsidRPr="00B47608">
        <w:t>…) stanno producendo sulle reti di fornitura.</w:t>
      </w:r>
    </w:p>
    <w:p w14:paraId="688FF2DE" w14:textId="77777777" w:rsidR="00122D6C" w:rsidRPr="00B47608" w:rsidRDefault="00122D6C" w:rsidP="00ED2A57">
      <w:pPr>
        <w:spacing w:after="0"/>
        <w:jc w:val="both"/>
      </w:pPr>
    </w:p>
    <w:p w14:paraId="33164FFB" w14:textId="2BF3B948" w:rsidR="00683D17" w:rsidRPr="00B47608" w:rsidRDefault="00683D17" w:rsidP="00ED2A57">
      <w:pPr>
        <w:spacing w:after="0"/>
        <w:jc w:val="both"/>
      </w:pPr>
      <w:r w:rsidRPr="00B47608">
        <w:t xml:space="preserve">L’internazionalizzazione non </w:t>
      </w:r>
      <w:r w:rsidR="00E1020A" w:rsidRPr="00B47608">
        <w:t>si manifesta</w:t>
      </w:r>
      <w:r w:rsidRPr="00B47608">
        <w:t xml:space="preserve"> solamente</w:t>
      </w:r>
      <w:r w:rsidR="00E1020A" w:rsidRPr="00B47608">
        <w:t xml:space="preserve"> attraverso le</w:t>
      </w:r>
      <w:r w:rsidRPr="00B47608">
        <w:t xml:space="preserve"> esportazioni. Nel capitolo 1 </w:t>
      </w:r>
      <w:r w:rsidR="00476836" w:rsidRPr="00B47608">
        <w:t>si fa il punto sulle diverse modalità di internazionalizzazione scelte dalle imprese</w:t>
      </w:r>
      <w:r w:rsidR="00E27A6F" w:rsidRPr="00B47608">
        <w:t>.</w:t>
      </w:r>
    </w:p>
    <w:p w14:paraId="3DD2895D" w14:textId="77777777" w:rsidR="006B0F64" w:rsidRPr="00B47608" w:rsidRDefault="006B0F64" w:rsidP="00ED2A57">
      <w:pPr>
        <w:spacing w:after="0"/>
        <w:jc w:val="both"/>
      </w:pPr>
    </w:p>
    <w:p w14:paraId="477BE984" w14:textId="6A4893E5" w:rsidR="00E1020A" w:rsidRPr="00B47608" w:rsidRDefault="0083537E" w:rsidP="00ED2A57">
      <w:pPr>
        <w:spacing w:after="0"/>
        <w:jc w:val="both"/>
      </w:pPr>
      <w:r w:rsidRPr="00B47608">
        <w:t>Le imprese</w:t>
      </w:r>
      <w:r w:rsidR="00FF2E89" w:rsidRPr="00B47608">
        <w:t xml:space="preserve">, </w:t>
      </w:r>
      <w:r w:rsidRPr="00B47608">
        <w:t>oltre che con la turbolenta situazione che stanno attraversando gli scambi internazionali</w:t>
      </w:r>
      <w:r w:rsidR="00FF2E89" w:rsidRPr="00B47608">
        <w:t>,</w:t>
      </w:r>
      <w:r w:rsidRPr="00B47608">
        <w:t xml:space="preserve"> si trovano a fare i conti anche con le transizioni gemelle</w:t>
      </w:r>
      <w:r w:rsidR="00966A49" w:rsidRPr="00B47608">
        <w:t xml:space="preserve">: </w:t>
      </w:r>
      <w:r w:rsidRPr="00B47608">
        <w:t xml:space="preserve">digitalizzazione e sostenibilità. </w:t>
      </w:r>
      <w:r w:rsidR="00966A49" w:rsidRPr="00B47608">
        <w:t xml:space="preserve">Che relazione esiste tra le transizioni gemelle </w:t>
      </w:r>
      <w:r w:rsidR="00663840" w:rsidRPr="00B47608">
        <w:t>e l’</w:t>
      </w:r>
      <w:r w:rsidR="00966A49" w:rsidRPr="00B47608">
        <w:t xml:space="preserve">internazionalizzazione delle imprese? </w:t>
      </w:r>
      <w:r w:rsidR="002E1185" w:rsidRPr="00B47608">
        <w:t>Nel capitolo 5 vengono ripresi alcuni dei temi approfonditi nel Rapporto 2022</w:t>
      </w:r>
      <w:r w:rsidR="00A82F1E" w:rsidRPr="00B47608">
        <w:t xml:space="preserve"> </w:t>
      </w:r>
      <w:r w:rsidR="00663840" w:rsidRPr="00B47608">
        <w:t xml:space="preserve">per rilevare l’avanzamento dei processi di cambiamento che stanno investendo il settore produttivo. </w:t>
      </w:r>
    </w:p>
    <w:p w14:paraId="6871F873" w14:textId="77777777" w:rsidR="00FD442A" w:rsidRPr="00B47608" w:rsidRDefault="00FD442A" w:rsidP="00ED2A57">
      <w:pPr>
        <w:spacing w:after="0"/>
        <w:jc w:val="both"/>
      </w:pPr>
    </w:p>
    <w:p w14:paraId="1AFD29FA" w14:textId="3390E173" w:rsidR="00FD442A" w:rsidRPr="00B47608" w:rsidRDefault="00FD442A" w:rsidP="00ED2A57">
      <w:pPr>
        <w:spacing w:after="0"/>
        <w:jc w:val="both"/>
      </w:pPr>
      <w:r w:rsidRPr="00B47608">
        <w:t xml:space="preserve">L’ultimo capitolo, il sesto, è dedicato a rilevare </w:t>
      </w:r>
      <w:r w:rsidR="00F83D7C" w:rsidRPr="00B47608">
        <w:t xml:space="preserve">le preferenze delle imprese rispetto agli strumenti e ai servizi che potrebbero essere </w:t>
      </w:r>
      <w:r w:rsidR="00086BC0" w:rsidRPr="00B47608">
        <w:t>introdotti</w:t>
      </w:r>
      <w:r w:rsidR="00F83D7C" w:rsidRPr="00B47608">
        <w:t xml:space="preserve"> per accompagnarle in questo </w:t>
      </w:r>
      <w:r w:rsidR="00880BCE" w:rsidRPr="00B47608">
        <w:t>complicato</w:t>
      </w:r>
      <w:r w:rsidR="00F83D7C" w:rsidRPr="00B47608">
        <w:t xml:space="preserve"> processo di </w:t>
      </w:r>
      <w:r w:rsidR="00880BCE" w:rsidRPr="00B47608">
        <w:t xml:space="preserve">cambiamento. </w:t>
      </w:r>
    </w:p>
    <w:p w14:paraId="1C87948D" w14:textId="77777777" w:rsidR="006B0F64" w:rsidRPr="00B47608" w:rsidRDefault="006B0F64" w:rsidP="00ED2A57">
      <w:pPr>
        <w:spacing w:after="0"/>
        <w:jc w:val="both"/>
      </w:pPr>
    </w:p>
    <w:p w14:paraId="3E3B302B" w14:textId="01B1CD26" w:rsidR="00FE6F83" w:rsidRPr="00B47608" w:rsidRDefault="00FE6F83" w:rsidP="00ED2A57">
      <w:pPr>
        <w:spacing w:after="0"/>
        <w:jc w:val="both"/>
        <w:rPr>
          <w:rFonts w:eastAsiaTheme="majorEastAsia" w:cstheme="majorBidi"/>
          <w:color w:val="0F4761" w:themeColor="accent1" w:themeShade="BF"/>
          <w:sz w:val="32"/>
          <w:szCs w:val="32"/>
        </w:rPr>
      </w:pPr>
      <w:r w:rsidRPr="00B47608">
        <w:br w:type="page"/>
      </w:r>
    </w:p>
    <w:p w14:paraId="36C04926" w14:textId="69996EC3" w:rsidR="00126741" w:rsidRPr="00B47608" w:rsidRDefault="008878A1" w:rsidP="00ED2A57">
      <w:pPr>
        <w:pStyle w:val="Titolo2"/>
        <w:spacing w:after="0"/>
        <w:rPr>
          <w:rFonts w:asciiTheme="minorHAnsi" w:hAnsiTheme="minorHAnsi"/>
        </w:rPr>
      </w:pPr>
      <w:bookmarkStart w:id="10" w:name="_Toc193106857"/>
      <w:r w:rsidRPr="00B47608">
        <w:rPr>
          <w:rFonts w:asciiTheme="minorHAnsi" w:hAnsiTheme="minorHAnsi"/>
        </w:rPr>
        <w:lastRenderedPageBreak/>
        <w:t xml:space="preserve">1. </w:t>
      </w:r>
      <w:r w:rsidR="00ED1C57" w:rsidRPr="00B47608">
        <w:rPr>
          <w:rFonts w:asciiTheme="minorHAnsi" w:hAnsiTheme="minorHAnsi"/>
        </w:rPr>
        <w:t>Le s</w:t>
      </w:r>
      <w:r w:rsidR="00B301D3" w:rsidRPr="00B47608">
        <w:rPr>
          <w:rFonts w:asciiTheme="minorHAnsi" w:hAnsiTheme="minorHAnsi"/>
        </w:rPr>
        <w:t>trategie di internazionalizzazione</w:t>
      </w:r>
      <w:bookmarkEnd w:id="10"/>
      <w:r w:rsidR="00ED1C57" w:rsidRPr="00B47608">
        <w:rPr>
          <w:rFonts w:asciiTheme="minorHAnsi" w:hAnsiTheme="minorHAnsi"/>
        </w:rPr>
        <w:t xml:space="preserve"> </w:t>
      </w:r>
    </w:p>
    <w:p w14:paraId="446F085D" w14:textId="77777777" w:rsidR="00CF0454" w:rsidRPr="00B47608" w:rsidRDefault="00CF0454" w:rsidP="00ED2A57">
      <w:pPr>
        <w:spacing w:after="0"/>
      </w:pPr>
    </w:p>
    <w:p w14:paraId="16527366" w14:textId="617879A7" w:rsidR="00AE096D" w:rsidRPr="00B47608" w:rsidRDefault="00AE096D" w:rsidP="005B5818">
      <w:pPr>
        <w:spacing w:after="0"/>
        <w:jc w:val="both"/>
      </w:pPr>
      <w:bookmarkStart w:id="11" w:name="_Hlk190238773"/>
      <w:r w:rsidRPr="00B47608">
        <w:t xml:space="preserve">I risultati dell'indagine delineano un quadro in cui l'esportazione diretta verso clienti finali, grossisti o distributori locali rappresenta la modalità prevalente di interazione con i mercati esteri per le PMI manifatturiere (71,4%). </w:t>
      </w:r>
      <w:bookmarkEnd w:id="11"/>
      <w:r w:rsidRPr="00B47608">
        <w:t>Questo dato evidenzia una propensione alla gestione diretta dei rapporti commerciali, pur avvalendosi di intermediari locali per la distribuzione</w:t>
      </w:r>
      <w:r w:rsidR="00CF0454" w:rsidRPr="00B47608">
        <w:t>, una modalità diffusa tra le imprese che operano nei canali B2B</w:t>
      </w:r>
      <w:r w:rsidRPr="00B47608">
        <w:t>. Le vendite occasionali (21,2%) e le importazioni di materiali e componenti (20,9%) rappresentano attività complementari, suggerendo una dinamicità delle imprese sia sul fronte delle vendite che degli approvvigionamenti internazionali</w:t>
      </w:r>
      <w:r w:rsidR="006F230C" w:rsidRPr="00B47608">
        <w:t xml:space="preserve"> e</w:t>
      </w:r>
      <w:r w:rsidR="00D26465" w:rsidRPr="00B47608">
        <w:t xml:space="preserve"> l'integrazione delle PMI nelle catene di fornitura globali</w:t>
      </w:r>
      <w:r w:rsidR="006F230C" w:rsidRPr="00B47608">
        <w:t xml:space="preserve"> attraverso</w:t>
      </w:r>
      <w:r w:rsidR="00D26465" w:rsidRPr="00B47608">
        <w:t xml:space="preserve"> l'approvvigionamento di input produttivi da fornitori esteri</w:t>
      </w:r>
      <w:r w:rsidRPr="00B47608">
        <w:t>. Le forme di presenza diretta sui mercati esteri, quali filiali commerciali, uffici di rappresentanza e produzione all'estero, registrano percentuali decisamente inferiori, indicando una strategia di internazionalizzazione più graduale e meno strutturata, tipica delle PMI.</w:t>
      </w:r>
    </w:p>
    <w:p w14:paraId="514E8CDF" w14:textId="77777777" w:rsidR="00ED1C57" w:rsidRPr="00B47608" w:rsidRDefault="00ED1C57" w:rsidP="00ED2A57">
      <w:pPr>
        <w:spacing w:after="0"/>
      </w:pPr>
    </w:p>
    <w:p w14:paraId="3470B72A" w14:textId="35A3673E" w:rsidR="0005509D" w:rsidRPr="00B47608" w:rsidRDefault="0005509D" w:rsidP="00ED2A57">
      <w:pPr>
        <w:spacing w:after="0"/>
        <w:rPr>
          <w:b/>
          <w:bCs/>
        </w:rPr>
      </w:pPr>
      <w:r w:rsidRPr="00B47608">
        <w:rPr>
          <w:b/>
          <w:bCs/>
        </w:rPr>
        <w:t xml:space="preserve">Graf. 1.1 </w:t>
      </w:r>
      <w:r w:rsidR="00292911" w:rsidRPr="00B47608">
        <w:rPr>
          <w:b/>
          <w:bCs/>
        </w:rPr>
        <w:t>Che tipo di rapporti intrattiene la vostra azienda sui mercati esteri?</w:t>
      </w:r>
      <w:r w:rsidR="00BF1DC6" w:rsidRPr="00B47608">
        <w:rPr>
          <w:b/>
          <w:bCs/>
        </w:rPr>
        <w:t xml:space="preserve"> Possibili più risposte</w:t>
      </w:r>
      <w:r w:rsidR="00407CB1" w:rsidRPr="00B47608">
        <w:rPr>
          <w:b/>
          <w:bCs/>
        </w:rPr>
        <w:t xml:space="preserve"> (Val. %)</w:t>
      </w:r>
    </w:p>
    <w:p w14:paraId="5EBE0BCA" w14:textId="2723E124" w:rsidR="00673274" w:rsidRPr="00B47608" w:rsidRDefault="00673274" w:rsidP="00ED2A57">
      <w:pPr>
        <w:spacing w:after="0"/>
        <w:rPr>
          <w:b/>
          <w:bCs/>
        </w:rPr>
      </w:pPr>
      <w:r w:rsidRPr="00B47608">
        <w:rPr>
          <w:noProof/>
        </w:rPr>
        <w:drawing>
          <wp:inline distT="0" distB="0" distL="0" distR="0" wp14:anchorId="2680E6CA" wp14:editId="4EB0858E">
            <wp:extent cx="5400040" cy="3589020"/>
            <wp:effectExtent l="0" t="0" r="0" b="0"/>
            <wp:docPr id="653455732" name="Grafico 1">
              <a:extLst xmlns:a="http://schemas.openxmlformats.org/drawingml/2006/main">
                <a:ext uri="{FF2B5EF4-FFF2-40B4-BE49-F238E27FC236}">
                  <a16:creationId xmlns:a16="http://schemas.microsoft.com/office/drawing/2014/main" id="{F03ED820-DDE6-FA45-1413-EE362206F9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E79D399" w14:textId="77777777" w:rsidR="00380CB1" w:rsidRPr="00B47608" w:rsidRDefault="00380CB1" w:rsidP="00380CB1">
      <w:pPr>
        <w:spacing w:after="0"/>
      </w:pPr>
      <w:r w:rsidRPr="00B47608">
        <w:t>Fonte: Fondazione Nord Est (463 casi)</w:t>
      </w:r>
    </w:p>
    <w:p w14:paraId="7BC56B4B" w14:textId="77777777" w:rsidR="0005509D" w:rsidRPr="00B47608" w:rsidRDefault="0005509D" w:rsidP="00ED2A57">
      <w:pPr>
        <w:spacing w:after="0"/>
      </w:pPr>
    </w:p>
    <w:p w14:paraId="037E4ABB" w14:textId="7D585B10" w:rsidR="0005509D" w:rsidRPr="00B47608" w:rsidRDefault="00B4146F" w:rsidP="00006552">
      <w:pPr>
        <w:spacing w:after="0"/>
        <w:jc w:val="both"/>
      </w:pPr>
      <w:r w:rsidRPr="00B47608">
        <w:t xml:space="preserve">L’uso delle esportazioni </w:t>
      </w:r>
      <w:r w:rsidR="0005509D" w:rsidRPr="00B47608">
        <w:t>dirette al cliente finale</w:t>
      </w:r>
      <w:r w:rsidRPr="00B47608">
        <w:t xml:space="preserve"> </w:t>
      </w:r>
      <w:r w:rsidR="0005509D" w:rsidRPr="00B47608">
        <w:t>conferma la centralità dell'export come principale canale di accesso ai mercati esteri per le PMI manifatturiere. L'utilizzo di grossisti e distributori locali riflette la necessità di avvalersi di partner con una buona conoscenza del mercato e una rete distributiva consolidata.</w:t>
      </w:r>
      <w:r w:rsidR="00F65B7C" w:rsidRPr="00B47608">
        <w:t xml:space="preserve"> </w:t>
      </w:r>
      <w:r w:rsidR="008E26ED" w:rsidRPr="00B47608">
        <w:t xml:space="preserve">La </w:t>
      </w:r>
      <w:r w:rsidR="0005509D" w:rsidRPr="00B47608">
        <w:t>presenza di</w:t>
      </w:r>
      <w:r w:rsidR="00F5152A" w:rsidRPr="00B47608">
        <w:t xml:space="preserve"> un numero importante di imprese che sceglie le</w:t>
      </w:r>
      <w:r w:rsidR="0005509D" w:rsidRPr="00B47608">
        <w:t xml:space="preserve"> vendite occasionali </w:t>
      </w:r>
      <w:r w:rsidR="00F5152A" w:rsidRPr="00B47608">
        <w:t xml:space="preserve">come strumento </w:t>
      </w:r>
      <w:r w:rsidR="00CF08C4" w:rsidRPr="00B47608">
        <w:t xml:space="preserve">per l’internazionalizzazione </w:t>
      </w:r>
      <w:r w:rsidR="00F65B7C" w:rsidRPr="00B47608">
        <w:t xml:space="preserve">potrebbe </w:t>
      </w:r>
      <w:r w:rsidR="0005509D" w:rsidRPr="00B47608">
        <w:t>suggeri</w:t>
      </w:r>
      <w:r w:rsidR="00F65B7C" w:rsidRPr="00B47608">
        <w:t>re</w:t>
      </w:r>
      <w:r w:rsidR="0005509D" w:rsidRPr="00B47608">
        <w:t xml:space="preserve"> un approccio </w:t>
      </w:r>
      <w:r w:rsidR="00CF08C4" w:rsidRPr="00B47608">
        <w:t>“</w:t>
      </w:r>
      <w:r w:rsidR="0005509D" w:rsidRPr="00B47608">
        <w:t>opportunistico</w:t>
      </w:r>
      <w:r w:rsidR="00CF08C4" w:rsidRPr="00B47608">
        <w:t>”</w:t>
      </w:r>
      <w:r w:rsidR="0005509D" w:rsidRPr="00B47608">
        <w:t>, legato a specifiche richieste o opportunità di mercato</w:t>
      </w:r>
      <w:r w:rsidR="007E29B0" w:rsidRPr="00B47608">
        <w:t xml:space="preserve"> e al tempo stesso fa emergere un potenziale bisogno da parte delle imprese di un </w:t>
      </w:r>
      <w:r w:rsidR="0005509D" w:rsidRPr="00B47608">
        <w:t>support</w:t>
      </w:r>
      <w:r w:rsidR="007E29B0" w:rsidRPr="00B47608">
        <w:t>o</w:t>
      </w:r>
      <w:r w:rsidR="0005509D" w:rsidRPr="00B47608">
        <w:t xml:space="preserve"> </w:t>
      </w:r>
      <w:r w:rsidR="007E29B0" w:rsidRPr="00B47608">
        <w:t>nelle attività di</w:t>
      </w:r>
      <w:r w:rsidR="0005509D" w:rsidRPr="00B47608">
        <w:t xml:space="preserve"> sviluppo di strategie di export più strutturate e continuative. L'export in regime di subfornitura indica la presenza di relazioni consolidate con aziende committenti estere.</w:t>
      </w:r>
      <w:r w:rsidR="00006552" w:rsidRPr="00B47608">
        <w:t xml:space="preserve"> </w:t>
      </w:r>
      <w:r w:rsidR="009524E3" w:rsidRPr="00B47608">
        <w:t>La scarsa diffusione delle altre</w:t>
      </w:r>
      <w:r w:rsidR="0005509D" w:rsidRPr="00B47608">
        <w:t xml:space="preserve"> forme di presenza diretta sui mercati esteri</w:t>
      </w:r>
      <w:r w:rsidR="00D67434" w:rsidRPr="00B47608">
        <w:t xml:space="preserve"> è probabilmente dovuta agli</w:t>
      </w:r>
      <w:r w:rsidR="0005509D" w:rsidRPr="00B47608">
        <w:t xml:space="preserve"> investimenti </w:t>
      </w:r>
      <w:r w:rsidR="00D67434" w:rsidRPr="00B47608">
        <w:t>che tali modalità richiedono</w:t>
      </w:r>
      <w:r w:rsidR="0005509D" w:rsidRPr="00B47608">
        <w:t>. Quest</w:t>
      </w:r>
      <w:r w:rsidR="002B293C" w:rsidRPr="00B47608">
        <w:t>a scelta appare</w:t>
      </w:r>
      <w:r w:rsidR="0005509D" w:rsidRPr="00B47608">
        <w:t xml:space="preserve"> coerente </w:t>
      </w:r>
      <w:r w:rsidR="00006552" w:rsidRPr="00B47608">
        <w:t xml:space="preserve">per </w:t>
      </w:r>
      <w:r w:rsidR="00FE39B4">
        <w:lastRenderedPageBreak/>
        <w:t xml:space="preserve">le </w:t>
      </w:r>
      <w:r w:rsidR="00006552" w:rsidRPr="00B47608">
        <w:t>PMI che adottano</w:t>
      </w:r>
      <w:r w:rsidR="0005509D" w:rsidRPr="00B47608">
        <w:t xml:space="preserve"> una strategia di internazionalizzazione che privilegia forme di collaborazione e partnership piuttosto che investimenti diretti. L'assenza di franchising e joint ventures con produzione all'estero suggerisce una limitata propensione a forme di espansione che implicano un elevato grado di integrazione e controllo sul mercato estero.</w:t>
      </w:r>
    </w:p>
    <w:p w14:paraId="1F059A36" w14:textId="77777777" w:rsidR="0005509D" w:rsidRPr="00B47608" w:rsidRDefault="0005509D" w:rsidP="0005509D">
      <w:pPr>
        <w:spacing w:after="0"/>
      </w:pPr>
    </w:p>
    <w:p w14:paraId="64679CA3" w14:textId="67DF298A" w:rsidR="0005509D" w:rsidRPr="00B47608" w:rsidRDefault="00EF248D" w:rsidP="008F2FCC">
      <w:pPr>
        <w:spacing w:after="0"/>
        <w:jc w:val="both"/>
      </w:pPr>
      <w:r w:rsidRPr="00B47608">
        <w:t>L</w:t>
      </w:r>
      <w:r w:rsidR="0005509D" w:rsidRPr="00B47608">
        <w:t xml:space="preserve">'indagine evidenzia un approccio all'internazionalizzazione delle PMI manifatturiere basato principalmente sull'export diretto e su forme di collaborazione con partner locali. </w:t>
      </w:r>
    </w:p>
    <w:p w14:paraId="29AA97D5" w14:textId="77777777" w:rsidR="00A008B5" w:rsidRPr="00B47608" w:rsidRDefault="00A008B5" w:rsidP="00A05F01">
      <w:pPr>
        <w:spacing w:after="0"/>
        <w:jc w:val="both"/>
      </w:pPr>
    </w:p>
    <w:p w14:paraId="60B153C8" w14:textId="41AA81E7" w:rsidR="00A05F01" w:rsidRPr="00B47608" w:rsidRDefault="00A05F01" w:rsidP="00A05F01">
      <w:pPr>
        <w:spacing w:after="0"/>
        <w:jc w:val="both"/>
      </w:pPr>
      <w:r w:rsidRPr="00B47608">
        <w:t xml:space="preserve">La tabella illustra i risultati di una cluster </w:t>
      </w:r>
      <w:proofErr w:type="spellStart"/>
      <w:r w:rsidRPr="00B47608">
        <w:t>analysis</w:t>
      </w:r>
      <w:proofErr w:type="spellEnd"/>
      <w:r w:rsidRPr="00B47608">
        <w:t xml:space="preserve"> condotta sulle imprese, raggruppate in base alle loro strategie di internazionalizzazione. Sono emersi tre gruppi distinti: "</w:t>
      </w:r>
      <w:r w:rsidR="009D4765" w:rsidRPr="00B47608">
        <w:t>Imprese orientate all’export</w:t>
      </w:r>
      <w:r w:rsidRPr="00B47608">
        <w:t>", "</w:t>
      </w:r>
      <w:r w:rsidR="009505CD" w:rsidRPr="00B47608">
        <w:t xml:space="preserve"> Imprese in equilibrio tra export e mercato interno </w:t>
      </w:r>
      <w:r w:rsidRPr="00B47608">
        <w:t>"</w:t>
      </w:r>
      <w:r w:rsidR="009505CD" w:rsidRPr="00B47608">
        <w:t xml:space="preserve"> e "Imprese orientate al mercato interno"</w:t>
      </w:r>
      <w:r w:rsidRPr="00B47608">
        <w:t>.</w:t>
      </w:r>
    </w:p>
    <w:p w14:paraId="4006B945" w14:textId="77777777" w:rsidR="00A008B5" w:rsidRPr="00B47608" w:rsidRDefault="00A008B5" w:rsidP="00A05F01">
      <w:pPr>
        <w:spacing w:after="0"/>
        <w:jc w:val="both"/>
      </w:pPr>
    </w:p>
    <w:p w14:paraId="62284016" w14:textId="2BE9AA2B" w:rsidR="00AC024A" w:rsidRPr="00B47608" w:rsidRDefault="00AC024A" w:rsidP="00A05F01">
      <w:pPr>
        <w:spacing w:after="0"/>
        <w:jc w:val="both"/>
        <w:rPr>
          <w:b/>
          <w:bCs/>
        </w:rPr>
      </w:pPr>
      <w:r w:rsidRPr="00B47608">
        <w:rPr>
          <w:b/>
          <w:bCs/>
        </w:rPr>
        <w:t xml:space="preserve">Tab. 1.1 </w:t>
      </w:r>
      <w:r w:rsidR="0080006B" w:rsidRPr="00B47608">
        <w:rPr>
          <w:b/>
          <w:bCs/>
        </w:rPr>
        <w:t>–</w:t>
      </w:r>
      <w:r w:rsidRPr="00B47608">
        <w:rPr>
          <w:b/>
          <w:bCs/>
        </w:rPr>
        <w:t xml:space="preserve"> </w:t>
      </w:r>
      <w:r w:rsidR="0080006B" w:rsidRPr="00B47608">
        <w:rPr>
          <w:b/>
          <w:bCs/>
        </w:rPr>
        <w:t>Media delle esportazioni per mercato per profilo di esportazioni (val.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73"/>
        <w:gridCol w:w="2519"/>
        <w:gridCol w:w="2519"/>
        <w:gridCol w:w="2517"/>
      </w:tblGrid>
      <w:tr w:rsidR="009D4765" w:rsidRPr="00B47608" w14:paraId="6E8E5A70" w14:textId="77777777" w:rsidTr="00112B83">
        <w:trPr>
          <w:trHeight w:val="1116"/>
        </w:trPr>
        <w:tc>
          <w:tcPr>
            <w:tcW w:w="1077" w:type="pct"/>
            <w:shd w:val="clear" w:color="auto" w:fill="auto"/>
            <w:noWrap/>
            <w:vAlign w:val="center"/>
            <w:hideMark/>
          </w:tcPr>
          <w:p w14:paraId="1AF53161" w14:textId="77777777" w:rsidR="009D4765" w:rsidRPr="00B47608" w:rsidRDefault="009D4765" w:rsidP="009D4765">
            <w:pPr>
              <w:spacing w:after="0" w:line="240" w:lineRule="auto"/>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 </w:t>
            </w:r>
          </w:p>
        </w:tc>
        <w:tc>
          <w:tcPr>
            <w:tcW w:w="1308" w:type="pct"/>
            <w:shd w:val="clear" w:color="auto" w:fill="auto"/>
            <w:vAlign w:val="center"/>
            <w:hideMark/>
          </w:tcPr>
          <w:p w14:paraId="4B74061E" w14:textId="77777777" w:rsidR="009D4765" w:rsidRPr="00B47608" w:rsidRDefault="009D4765" w:rsidP="009D4765">
            <w:pPr>
              <w:spacing w:after="0" w:line="240" w:lineRule="auto"/>
              <w:jc w:val="center"/>
              <w:rPr>
                <w:rFonts w:eastAsia="Times New Roman" w:cs="Calibri"/>
                <w:b/>
                <w:bCs/>
                <w:color w:val="000000"/>
                <w:kern w:val="0"/>
                <w:sz w:val="20"/>
                <w:szCs w:val="20"/>
                <w:lang w:eastAsia="it-IT"/>
                <w14:ligatures w14:val="none"/>
              </w:rPr>
            </w:pPr>
            <w:r w:rsidRPr="00B47608">
              <w:rPr>
                <w:rFonts w:eastAsia="Times New Roman" w:cs="Calibri"/>
                <w:b/>
                <w:bCs/>
                <w:color w:val="000000"/>
                <w:kern w:val="0"/>
                <w:sz w:val="20"/>
                <w:szCs w:val="20"/>
                <w:lang w:eastAsia="it-IT"/>
                <w14:ligatures w14:val="none"/>
              </w:rPr>
              <w:t>Imprese orientate all'export</w:t>
            </w:r>
          </w:p>
        </w:tc>
        <w:tc>
          <w:tcPr>
            <w:tcW w:w="1308" w:type="pct"/>
            <w:shd w:val="clear" w:color="auto" w:fill="auto"/>
            <w:vAlign w:val="center"/>
            <w:hideMark/>
          </w:tcPr>
          <w:p w14:paraId="3D1B895C" w14:textId="454655F5" w:rsidR="009D4765" w:rsidRPr="00B47608" w:rsidRDefault="009D4765" w:rsidP="009D4765">
            <w:pPr>
              <w:spacing w:after="0" w:line="240" w:lineRule="auto"/>
              <w:jc w:val="center"/>
              <w:rPr>
                <w:rFonts w:eastAsia="Times New Roman" w:cs="Calibri"/>
                <w:b/>
                <w:bCs/>
                <w:color w:val="000000"/>
                <w:kern w:val="0"/>
                <w:sz w:val="20"/>
                <w:szCs w:val="20"/>
                <w:lang w:eastAsia="it-IT"/>
                <w14:ligatures w14:val="none"/>
              </w:rPr>
            </w:pPr>
            <w:r w:rsidRPr="00B47608">
              <w:rPr>
                <w:rFonts w:eastAsia="Times New Roman" w:cs="Calibri"/>
                <w:b/>
                <w:bCs/>
                <w:color w:val="000000"/>
                <w:kern w:val="0"/>
                <w:sz w:val="20"/>
                <w:szCs w:val="20"/>
                <w:lang w:eastAsia="it-IT"/>
                <w14:ligatures w14:val="none"/>
              </w:rPr>
              <w:t>Imprese in equilibrio tra export e mercato interno</w:t>
            </w:r>
          </w:p>
        </w:tc>
        <w:tc>
          <w:tcPr>
            <w:tcW w:w="1307" w:type="pct"/>
            <w:shd w:val="clear" w:color="auto" w:fill="auto"/>
            <w:vAlign w:val="center"/>
            <w:hideMark/>
          </w:tcPr>
          <w:p w14:paraId="64716DCE" w14:textId="77777777" w:rsidR="009D4765" w:rsidRPr="00B47608" w:rsidRDefault="009D4765" w:rsidP="009D4765">
            <w:pPr>
              <w:spacing w:after="0" w:line="240" w:lineRule="auto"/>
              <w:jc w:val="center"/>
              <w:rPr>
                <w:rFonts w:eastAsia="Times New Roman" w:cs="Calibri"/>
                <w:b/>
                <w:bCs/>
                <w:color w:val="000000"/>
                <w:kern w:val="0"/>
                <w:sz w:val="20"/>
                <w:szCs w:val="20"/>
                <w:lang w:eastAsia="it-IT"/>
                <w14:ligatures w14:val="none"/>
              </w:rPr>
            </w:pPr>
            <w:r w:rsidRPr="00B47608">
              <w:rPr>
                <w:rFonts w:eastAsia="Times New Roman" w:cs="Calibri"/>
                <w:b/>
                <w:bCs/>
                <w:color w:val="000000"/>
                <w:kern w:val="0"/>
                <w:sz w:val="20"/>
                <w:szCs w:val="20"/>
                <w:lang w:eastAsia="it-IT"/>
                <w14:ligatures w14:val="none"/>
              </w:rPr>
              <w:t>Imprese orientate al mercato interno</w:t>
            </w:r>
          </w:p>
        </w:tc>
      </w:tr>
      <w:tr w:rsidR="009D4765" w:rsidRPr="00B47608" w14:paraId="45BD422A" w14:textId="77777777" w:rsidTr="00C373F9">
        <w:trPr>
          <w:trHeight w:val="397"/>
        </w:trPr>
        <w:tc>
          <w:tcPr>
            <w:tcW w:w="1077" w:type="pct"/>
            <w:shd w:val="clear" w:color="auto" w:fill="auto"/>
            <w:noWrap/>
            <w:vAlign w:val="center"/>
            <w:hideMark/>
          </w:tcPr>
          <w:p w14:paraId="66307C63" w14:textId="77777777" w:rsidR="009D4765" w:rsidRPr="00B47608" w:rsidRDefault="009D4765" w:rsidP="009D4765">
            <w:pPr>
              <w:spacing w:after="0" w:line="240" w:lineRule="auto"/>
              <w:rPr>
                <w:rFonts w:eastAsia="Times New Roman" w:cs="Calibri"/>
                <w:color w:val="000000"/>
                <w:kern w:val="0"/>
                <w:sz w:val="20"/>
                <w:szCs w:val="20"/>
                <w:lang w:eastAsia="it-IT"/>
                <w14:ligatures w14:val="none"/>
              </w:rPr>
            </w:pPr>
            <w:r w:rsidRPr="00B47608">
              <w:rPr>
                <w:rFonts w:eastAsia="Times New Roman" w:cs="Calibri"/>
                <w:color w:val="000000"/>
                <w:kern w:val="0"/>
                <w:sz w:val="20"/>
                <w:szCs w:val="20"/>
                <w:lang w:eastAsia="it-IT"/>
                <w14:ligatures w14:val="none"/>
              </w:rPr>
              <w:t>Esportazioni</w:t>
            </w:r>
          </w:p>
        </w:tc>
        <w:tc>
          <w:tcPr>
            <w:tcW w:w="1308" w:type="pct"/>
            <w:shd w:val="clear" w:color="auto" w:fill="auto"/>
            <w:noWrap/>
            <w:vAlign w:val="center"/>
            <w:hideMark/>
          </w:tcPr>
          <w:p w14:paraId="6D20CBFC" w14:textId="77777777" w:rsidR="009D4765" w:rsidRPr="00B47608" w:rsidRDefault="009D4765" w:rsidP="009D4765">
            <w:pPr>
              <w:spacing w:after="0" w:line="240" w:lineRule="auto"/>
              <w:jc w:val="center"/>
              <w:rPr>
                <w:rFonts w:eastAsia="Times New Roman" w:cs="Calibri"/>
                <w:color w:val="000000"/>
                <w:kern w:val="0"/>
                <w:sz w:val="20"/>
                <w:szCs w:val="20"/>
                <w:lang w:eastAsia="it-IT"/>
                <w14:ligatures w14:val="none"/>
              </w:rPr>
            </w:pPr>
            <w:r w:rsidRPr="00B47608">
              <w:rPr>
                <w:rFonts w:eastAsia="Times New Roman" w:cs="Calibri"/>
                <w:color w:val="000000"/>
                <w:kern w:val="0"/>
                <w:sz w:val="20"/>
                <w:szCs w:val="20"/>
                <w:lang w:eastAsia="it-IT"/>
                <w14:ligatures w14:val="none"/>
              </w:rPr>
              <w:t>80</w:t>
            </w:r>
          </w:p>
        </w:tc>
        <w:tc>
          <w:tcPr>
            <w:tcW w:w="1308" w:type="pct"/>
            <w:shd w:val="clear" w:color="auto" w:fill="auto"/>
            <w:noWrap/>
            <w:vAlign w:val="center"/>
            <w:hideMark/>
          </w:tcPr>
          <w:p w14:paraId="1E3E8393" w14:textId="77777777" w:rsidR="009D4765" w:rsidRPr="00B47608" w:rsidRDefault="009D4765" w:rsidP="009D4765">
            <w:pPr>
              <w:spacing w:after="0" w:line="240" w:lineRule="auto"/>
              <w:jc w:val="center"/>
              <w:rPr>
                <w:rFonts w:eastAsia="Times New Roman" w:cs="Calibri"/>
                <w:color w:val="000000"/>
                <w:kern w:val="0"/>
                <w:sz w:val="20"/>
                <w:szCs w:val="20"/>
                <w:lang w:eastAsia="it-IT"/>
                <w14:ligatures w14:val="none"/>
              </w:rPr>
            </w:pPr>
            <w:r w:rsidRPr="00B47608">
              <w:rPr>
                <w:rFonts w:eastAsia="Times New Roman" w:cs="Calibri"/>
                <w:color w:val="000000"/>
                <w:kern w:val="0"/>
                <w:sz w:val="20"/>
                <w:szCs w:val="20"/>
                <w:lang w:eastAsia="it-IT"/>
                <w14:ligatures w14:val="none"/>
              </w:rPr>
              <w:t>49,3</w:t>
            </w:r>
          </w:p>
        </w:tc>
        <w:tc>
          <w:tcPr>
            <w:tcW w:w="1307" w:type="pct"/>
            <w:shd w:val="clear" w:color="auto" w:fill="auto"/>
            <w:noWrap/>
            <w:vAlign w:val="center"/>
            <w:hideMark/>
          </w:tcPr>
          <w:p w14:paraId="5F4A7026" w14:textId="77777777" w:rsidR="009D4765" w:rsidRPr="00B47608" w:rsidRDefault="009D4765" w:rsidP="009D4765">
            <w:pPr>
              <w:spacing w:after="0" w:line="240" w:lineRule="auto"/>
              <w:jc w:val="center"/>
              <w:rPr>
                <w:rFonts w:eastAsia="Times New Roman" w:cs="Calibri"/>
                <w:color w:val="000000"/>
                <w:kern w:val="0"/>
                <w:sz w:val="20"/>
                <w:szCs w:val="20"/>
                <w:lang w:eastAsia="it-IT"/>
                <w14:ligatures w14:val="none"/>
              </w:rPr>
            </w:pPr>
            <w:r w:rsidRPr="00B47608">
              <w:rPr>
                <w:rFonts w:eastAsia="Times New Roman" w:cs="Calibri"/>
                <w:color w:val="000000"/>
                <w:kern w:val="0"/>
                <w:sz w:val="20"/>
                <w:szCs w:val="20"/>
                <w:lang w:eastAsia="it-IT"/>
                <w14:ligatures w14:val="none"/>
              </w:rPr>
              <w:t>9,2</w:t>
            </w:r>
          </w:p>
        </w:tc>
      </w:tr>
      <w:tr w:rsidR="009D4765" w:rsidRPr="00B47608" w14:paraId="6F42F57D" w14:textId="77777777" w:rsidTr="00C373F9">
        <w:trPr>
          <w:trHeight w:val="397"/>
        </w:trPr>
        <w:tc>
          <w:tcPr>
            <w:tcW w:w="1077" w:type="pct"/>
            <w:shd w:val="clear" w:color="auto" w:fill="auto"/>
            <w:noWrap/>
            <w:vAlign w:val="center"/>
            <w:hideMark/>
          </w:tcPr>
          <w:p w14:paraId="08A00F5E" w14:textId="77777777" w:rsidR="009D4765" w:rsidRPr="00B47608" w:rsidRDefault="009D4765" w:rsidP="009D4765">
            <w:pPr>
              <w:spacing w:after="0" w:line="240" w:lineRule="auto"/>
              <w:rPr>
                <w:rFonts w:eastAsia="Times New Roman" w:cs="Calibri"/>
                <w:color w:val="000000"/>
                <w:kern w:val="0"/>
                <w:sz w:val="20"/>
                <w:szCs w:val="20"/>
                <w:lang w:eastAsia="it-IT"/>
                <w14:ligatures w14:val="none"/>
              </w:rPr>
            </w:pPr>
            <w:r w:rsidRPr="00B47608">
              <w:rPr>
                <w:rFonts w:eastAsia="Times New Roman" w:cs="Calibri"/>
                <w:color w:val="000000"/>
                <w:kern w:val="0"/>
                <w:sz w:val="20"/>
                <w:szCs w:val="20"/>
                <w:lang w:eastAsia="it-IT"/>
                <w14:ligatures w14:val="none"/>
              </w:rPr>
              <w:t>Vendite Italia</w:t>
            </w:r>
          </w:p>
        </w:tc>
        <w:tc>
          <w:tcPr>
            <w:tcW w:w="1308" w:type="pct"/>
            <w:shd w:val="clear" w:color="000000" w:fill="F8696B"/>
            <w:noWrap/>
            <w:vAlign w:val="center"/>
            <w:hideMark/>
          </w:tcPr>
          <w:p w14:paraId="7F7A2EE9" w14:textId="77777777" w:rsidR="009D4765" w:rsidRPr="00B47608" w:rsidRDefault="009D4765" w:rsidP="009D4765">
            <w:pPr>
              <w:spacing w:after="0" w:line="240" w:lineRule="auto"/>
              <w:jc w:val="center"/>
              <w:rPr>
                <w:rFonts w:eastAsia="Times New Roman" w:cs="Calibri"/>
                <w:color w:val="000000"/>
                <w:kern w:val="0"/>
                <w:sz w:val="20"/>
                <w:szCs w:val="20"/>
                <w:lang w:eastAsia="it-IT"/>
                <w14:ligatures w14:val="none"/>
              </w:rPr>
            </w:pPr>
            <w:r w:rsidRPr="00B47608">
              <w:rPr>
                <w:rFonts w:eastAsia="Times New Roman" w:cs="Calibri"/>
                <w:color w:val="000000"/>
                <w:kern w:val="0"/>
                <w:sz w:val="20"/>
                <w:szCs w:val="20"/>
                <w:lang w:eastAsia="it-IT"/>
                <w14:ligatures w14:val="none"/>
              </w:rPr>
              <w:t>20</w:t>
            </w:r>
          </w:p>
        </w:tc>
        <w:tc>
          <w:tcPr>
            <w:tcW w:w="1308" w:type="pct"/>
            <w:shd w:val="clear" w:color="000000" w:fill="FED980"/>
            <w:noWrap/>
            <w:vAlign w:val="center"/>
            <w:hideMark/>
          </w:tcPr>
          <w:p w14:paraId="0D668F78" w14:textId="77777777" w:rsidR="009D4765" w:rsidRPr="00B47608" w:rsidRDefault="009D4765" w:rsidP="009D4765">
            <w:pPr>
              <w:spacing w:after="0" w:line="240" w:lineRule="auto"/>
              <w:jc w:val="center"/>
              <w:rPr>
                <w:rFonts w:eastAsia="Times New Roman" w:cs="Calibri"/>
                <w:color w:val="000000"/>
                <w:kern w:val="0"/>
                <w:sz w:val="20"/>
                <w:szCs w:val="20"/>
                <w:lang w:eastAsia="it-IT"/>
                <w14:ligatures w14:val="none"/>
              </w:rPr>
            </w:pPr>
            <w:r w:rsidRPr="00B47608">
              <w:rPr>
                <w:rFonts w:eastAsia="Times New Roman" w:cs="Calibri"/>
                <w:color w:val="000000"/>
                <w:kern w:val="0"/>
                <w:sz w:val="20"/>
                <w:szCs w:val="20"/>
                <w:lang w:eastAsia="it-IT"/>
                <w14:ligatures w14:val="none"/>
              </w:rPr>
              <w:t>50,7</w:t>
            </w:r>
          </w:p>
        </w:tc>
        <w:tc>
          <w:tcPr>
            <w:tcW w:w="1307" w:type="pct"/>
            <w:shd w:val="clear" w:color="000000" w:fill="63BE7B"/>
            <w:noWrap/>
            <w:vAlign w:val="center"/>
            <w:hideMark/>
          </w:tcPr>
          <w:p w14:paraId="329A9495" w14:textId="77777777" w:rsidR="009D4765" w:rsidRPr="00B47608" w:rsidRDefault="009D4765" w:rsidP="009D4765">
            <w:pPr>
              <w:spacing w:after="0" w:line="240" w:lineRule="auto"/>
              <w:jc w:val="center"/>
              <w:rPr>
                <w:rFonts w:eastAsia="Times New Roman" w:cs="Calibri"/>
                <w:color w:val="000000"/>
                <w:kern w:val="0"/>
                <w:sz w:val="20"/>
                <w:szCs w:val="20"/>
                <w:lang w:eastAsia="it-IT"/>
                <w14:ligatures w14:val="none"/>
              </w:rPr>
            </w:pPr>
            <w:r w:rsidRPr="00B47608">
              <w:rPr>
                <w:rFonts w:eastAsia="Times New Roman" w:cs="Calibri"/>
                <w:color w:val="000000"/>
                <w:kern w:val="0"/>
                <w:sz w:val="20"/>
                <w:szCs w:val="20"/>
                <w:lang w:eastAsia="it-IT"/>
                <w14:ligatures w14:val="none"/>
              </w:rPr>
              <w:t>90,8</w:t>
            </w:r>
          </w:p>
        </w:tc>
      </w:tr>
      <w:tr w:rsidR="009D4765" w:rsidRPr="00B47608" w14:paraId="32F11A4C" w14:textId="77777777" w:rsidTr="00C373F9">
        <w:trPr>
          <w:trHeight w:val="397"/>
        </w:trPr>
        <w:tc>
          <w:tcPr>
            <w:tcW w:w="1077" w:type="pct"/>
            <w:shd w:val="clear" w:color="auto" w:fill="auto"/>
            <w:noWrap/>
            <w:vAlign w:val="center"/>
            <w:hideMark/>
          </w:tcPr>
          <w:p w14:paraId="76D0A2AF" w14:textId="77777777" w:rsidR="009D4765" w:rsidRPr="00B47608" w:rsidRDefault="009D4765" w:rsidP="009D4765">
            <w:pPr>
              <w:spacing w:after="0" w:line="240" w:lineRule="auto"/>
              <w:rPr>
                <w:rFonts w:eastAsia="Times New Roman" w:cs="Calibri"/>
                <w:color w:val="000000"/>
                <w:kern w:val="0"/>
                <w:sz w:val="20"/>
                <w:szCs w:val="20"/>
                <w:lang w:eastAsia="it-IT"/>
                <w14:ligatures w14:val="none"/>
              </w:rPr>
            </w:pPr>
            <w:proofErr w:type="spellStart"/>
            <w:r w:rsidRPr="00B47608">
              <w:rPr>
                <w:rFonts w:eastAsia="Times New Roman" w:cs="Calibri"/>
                <w:color w:val="000000"/>
                <w:kern w:val="0"/>
                <w:sz w:val="20"/>
                <w:szCs w:val="20"/>
                <w:lang w:eastAsia="it-IT"/>
                <w14:ligatures w14:val="none"/>
              </w:rPr>
              <w:t>Vend</w:t>
            </w:r>
            <w:proofErr w:type="spellEnd"/>
            <w:r w:rsidRPr="00B47608">
              <w:rPr>
                <w:rFonts w:eastAsia="Times New Roman" w:cs="Calibri"/>
                <w:color w:val="000000"/>
                <w:kern w:val="0"/>
                <w:sz w:val="20"/>
                <w:szCs w:val="20"/>
                <w:lang w:eastAsia="it-IT"/>
                <w14:ligatures w14:val="none"/>
              </w:rPr>
              <w:t>. UE</w:t>
            </w:r>
          </w:p>
        </w:tc>
        <w:tc>
          <w:tcPr>
            <w:tcW w:w="1308" w:type="pct"/>
            <w:shd w:val="clear" w:color="000000" w:fill="63BE7B"/>
            <w:noWrap/>
            <w:vAlign w:val="center"/>
            <w:hideMark/>
          </w:tcPr>
          <w:p w14:paraId="3CFE1187" w14:textId="77777777" w:rsidR="009D4765" w:rsidRPr="00B47608" w:rsidRDefault="009D4765" w:rsidP="009D4765">
            <w:pPr>
              <w:spacing w:after="0" w:line="240" w:lineRule="auto"/>
              <w:jc w:val="center"/>
              <w:rPr>
                <w:rFonts w:eastAsia="Times New Roman" w:cs="Calibri"/>
                <w:color w:val="000000"/>
                <w:kern w:val="0"/>
                <w:sz w:val="20"/>
                <w:szCs w:val="20"/>
                <w:lang w:eastAsia="it-IT"/>
                <w14:ligatures w14:val="none"/>
              </w:rPr>
            </w:pPr>
            <w:r w:rsidRPr="00B47608">
              <w:rPr>
                <w:rFonts w:eastAsia="Times New Roman" w:cs="Calibri"/>
                <w:color w:val="000000"/>
                <w:kern w:val="0"/>
                <w:sz w:val="20"/>
                <w:szCs w:val="20"/>
                <w:lang w:eastAsia="it-IT"/>
                <w14:ligatures w14:val="none"/>
              </w:rPr>
              <w:t>53,3</w:t>
            </w:r>
          </w:p>
        </w:tc>
        <w:tc>
          <w:tcPr>
            <w:tcW w:w="1308" w:type="pct"/>
            <w:shd w:val="clear" w:color="000000" w:fill="F9EA84"/>
            <w:noWrap/>
            <w:vAlign w:val="center"/>
            <w:hideMark/>
          </w:tcPr>
          <w:p w14:paraId="79F34EEB" w14:textId="77777777" w:rsidR="009D4765" w:rsidRPr="00B47608" w:rsidRDefault="009D4765" w:rsidP="009D4765">
            <w:pPr>
              <w:spacing w:after="0" w:line="240" w:lineRule="auto"/>
              <w:jc w:val="center"/>
              <w:rPr>
                <w:rFonts w:eastAsia="Times New Roman" w:cs="Calibri"/>
                <w:color w:val="000000"/>
                <w:kern w:val="0"/>
                <w:sz w:val="20"/>
                <w:szCs w:val="20"/>
                <w:lang w:eastAsia="it-IT"/>
                <w14:ligatures w14:val="none"/>
              </w:rPr>
            </w:pPr>
            <w:r w:rsidRPr="00B47608">
              <w:rPr>
                <w:rFonts w:eastAsia="Times New Roman" w:cs="Calibri"/>
                <w:color w:val="000000"/>
                <w:kern w:val="0"/>
                <w:sz w:val="20"/>
                <w:szCs w:val="20"/>
                <w:lang w:eastAsia="it-IT"/>
                <w14:ligatures w14:val="none"/>
              </w:rPr>
              <w:t>26,8</w:t>
            </w:r>
          </w:p>
        </w:tc>
        <w:tc>
          <w:tcPr>
            <w:tcW w:w="1307" w:type="pct"/>
            <w:shd w:val="clear" w:color="000000" w:fill="F8696B"/>
            <w:noWrap/>
            <w:vAlign w:val="center"/>
            <w:hideMark/>
          </w:tcPr>
          <w:p w14:paraId="06277646" w14:textId="77777777" w:rsidR="009D4765" w:rsidRPr="00B47608" w:rsidRDefault="009D4765" w:rsidP="009D4765">
            <w:pPr>
              <w:spacing w:after="0" w:line="240" w:lineRule="auto"/>
              <w:jc w:val="center"/>
              <w:rPr>
                <w:rFonts w:eastAsia="Times New Roman" w:cs="Calibri"/>
                <w:color w:val="000000"/>
                <w:kern w:val="0"/>
                <w:sz w:val="20"/>
                <w:szCs w:val="20"/>
                <w:lang w:eastAsia="it-IT"/>
                <w14:ligatures w14:val="none"/>
              </w:rPr>
            </w:pPr>
            <w:r w:rsidRPr="00B47608">
              <w:rPr>
                <w:rFonts w:eastAsia="Times New Roman" w:cs="Calibri"/>
                <w:color w:val="000000"/>
                <w:kern w:val="0"/>
                <w:sz w:val="20"/>
                <w:szCs w:val="20"/>
                <w:lang w:eastAsia="it-IT"/>
                <w14:ligatures w14:val="none"/>
              </w:rPr>
              <w:t>5,8</w:t>
            </w:r>
          </w:p>
        </w:tc>
      </w:tr>
      <w:tr w:rsidR="009D4765" w:rsidRPr="00B47608" w14:paraId="13E0DB91" w14:textId="77777777" w:rsidTr="00C373F9">
        <w:trPr>
          <w:trHeight w:val="397"/>
        </w:trPr>
        <w:tc>
          <w:tcPr>
            <w:tcW w:w="1077" w:type="pct"/>
            <w:shd w:val="clear" w:color="auto" w:fill="auto"/>
            <w:noWrap/>
            <w:vAlign w:val="center"/>
            <w:hideMark/>
          </w:tcPr>
          <w:p w14:paraId="668A984B" w14:textId="77777777" w:rsidR="009D4765" w:rsidRPr="00B47608" w:rsidRDefault="009D4765" w:rsidP="009D4765">
            <w:pPr>
              <w:spacing w:after="0" w:line="240" w:lineRule="auto"/>
              <w:rPr>
                <w:rFonts w:eastAsia="Times New Roman" w:cs="Calibri"/>
                <w:color w:val="000000"/>
                <w:kern w:val="0"/>
                <w:sz w:val="20"/>
                <w:szCs w:val="20"/>
                <w:lang w:eastAsia="it-IT"/>
                <w14:ligatures w14:val="none"/>
              </w:rPr>
            </w:pPr>
            <w:proofErr w:type="spellStart"/>
            <w:r w:rsidRPr="00B47608">
              <w:rPr>
                <w:rFonts w:eastAsia="Times New Roman" w:cs="Calibri"/>
                <w:color w:val="000000"/>
                <w:kern w:val="0"/>
                <w:sz w:val="20"/>
                <w:szCs w:val="20"/>
                <w:lang w:eastAsia="it-IT"/>
                <w14:ligatures w14:val="none"/>
              </w:rPr>
              <w:t>Vend</w:t>
            </w:r>
            <w:proofErr w:type="spellEnd"/>
            <w:r w:rsidRPr="00B47608">
              <w:rPr>
                <w:rFonts w:eastAsia="Times New Roman" w:cs="Calibri"/>
                <w:color w:val="000000"/>
                <w:kern w:val="0"/>
                <w:sz w:val="20"/>
                <w:szCs w:val="20"/>
                <w:lang w:eastAsia="it-IT"/>
                <w14:ligatures w14:val="none"/>
              </w:rPr>
              <w:t>. Extra UE</w:t>
            </w:r>
          </w:p>
        </w:tc>
        <w:tc>
          <w:tcPr>
            <w:tcW w:w="1308" w:type="pct"/>
            <w:shd w:val="clear" w:color="000000" w:fill="63BE7B"/>
            <w:noWrap/>
            <w:vAlign w:val="center"/>
            <w:hideMark/>
          </w:tcPr>
          <w:p w14:paraId="6E016869" w14:textId="77777777" w:rsidR="009D4765" w:rsidRPr="00B47608" w:rsidRDefault="009D4765" w:rsidP="009D4765">
            <w:pPr>
              <w:spacing w:after="0" w:line="240" w:lineRule="auto"/>
              <w:jc w:val="center"/>
              <w:rPr>
                <w:rFonts w:eastAsia="Times New Roman" w:cs="Calibri"/>
                <w:color w:val="000000"/>
                <w:kern w:val="0"/>
                <w:sz w:val="20"/>
                <w:szCs w:val="20"/>
                <w:lang w:eastAsia="it-IT"/>
                <w14:ligatures w14:val="none"/>
              </w:rPr>
            </w:pPr>
            <w:r w:rsidRPr="00B47608">
              <w:rPr>
                <w:rFonts w:eastAsia="Times New Roman" w:cs="Calibri"/>
                <w:color w:val="000000"/>
                <w:kern w:val="0"/>
                <w:sz w:val="20"/>
                <w:szCs w:val="20"/>
                <w:lang w:eastAsia="it-IT"/>
                <w14:ligatures w14:val="none"/>
              </w:rPr>
              <w:t>26,8</w:t>
            </w:r>
          </w:p>
        </w:tc>
        <w:tc>
          <w:tcPr>
            <w:tcW w:w="1308" w:type="pct"/>
            <w:shd w:val="clear" w:color="000000" w:fill="B8D780"/>
            <w:noWrap/>
            <w:vAlign w:val="center"/>
            <w:hideMark/>
          </w:tcPr>
          <w:p w14:paraId="470F64F4" w14:textId="77777777" w:rsidR="009D4765" w:rsidRPr="00B47608" w:rsidRDefault="009D4765" w:rsidP="009D4765">
            <w:pPr>
              <w:spacing w:after="0" w:line="240" w:lineRule="auto"/>
              <w:jc w:val="center"/>
              <w:rPr>
                <w:rFonts w:eastAsia="Times New Roman" w:cs="Calibri"/>
                <w:color w:val="000000"/>
                <w:kern w:val="0"/>
                <w:sz w:val="20"/>
                <w:szCs w:val="20"/>
                <w:lang w:eastAsia="it-IT"/>
                <w14:ligatures w14:val="none"/>
              </w:rPr>
            </w:pPr>
            <w:r w:rsidRPr="00B47608">
              <w:rPr>
                <w:rFonts w:eastAsia="Times New Roman" w:cs="Calibri"/>
                <w:color w:val="000000"/>
                <w:kern w:val="0"/>
                <w:sz w:val="20"/>
                <w:szCs w:val="20"/>
                <w:lang w:eastAsia="it-IT"/>
                <w14:ligatures w14:val="none"/>
              </w:rPr>
              <w:t>22,4</w:t>
            </w:r>
          </w:p>
        </w:tc>
        <w:tc>
          <w:tcPr>
            <w:tcW w:w="1307" w:type="pct"/>
            <w:shd w:val="clear" w:color="000000" w:fill="F8696B"/>
            <w:noWrap/>
            <w:vAlign w:val="center"/>
            <w:hideMark/>
          </w:tcPr>
          <w:p w14:paraId="34A0B231" w14:textId="77777777" w:rsidR="009D4765" w:rsidRPr="00B47608" w:rsidRDefault="009D4765" w:rsidP="009D4765">
            <w:pPr>
              <w:spacing w:after="0" w:line="240" w:lineRule="auto"/>
              <w:jc w:val="center"/>
              <w:rPr>
                <w:rFonts w:eastAsia="Times New Roman" w:cs="Calibri"/>
                <w:color w:val="000000"/>
                <w:kern w:val="0"/>
                <w:sz w:val="20"/>
                <w:szCs w:val="20"/>
                <w:lang w:eastAsia="it-IT"/>
                <w14:ligatures w14:val="none"/>
              </w:rPr>
            </w:pPr>
            <w:r w:rsidRPr="00B47608">
              <w:rPr>
                <w:rFonts w:eastAsia="Times New Roman" w:cs="Calibri"/>
                <w:color w:val="000000"/>
                <w:kern w:val="0"/>
                <w:sz w:val="20"/>
                <w:szCs w:val="20"/>
                <w:lang w:eastAsia="it-IT"/>
                <w14:ligatures w14:val="none"/>
              </w:rPr>
              <w:t>3,4</w:t>
            </w:r>
          </w:p>
        </w:tc>
      </w:tr>
      <w:tr w:rsidR="009D4765" w:rsidRPr="00B47608" w14:paraId="0AE578EE" w14:textId="77777777" w:rsidTr="00C373F9">
        <w:trPr>
          <w:trHeight w:val="397"/>
        </w:trPr>
        <w:tc>
          <w:tcPr>
            <w:tcW w:w="1077" w:type="pct"/>
            <w:shd w:val="clear" w:color="000000" w:fill="FFFFFF"/>
            <w:noWrap/>
            <w:vAlign w:val="center"/>
            <w:hideMark/>
          </w:tcPr>
          <w:p w14:paraId="34541461" w14:textId="77777777" w:rsidR="009D4765" w:rsidRPr="00B47608" w:rsidRDefault="009D4765" w:rsidP="009D4765">
            <w:pPr>
              <w:spacing w:after="0" w:line="240" w:lineRule="auto"/>
              <w:rPr>
                <w:rFonts w:eastAsia="Times New Roman" w:cs="Calibri"/>
                <w:color w:val="000000"/>
                <w:kern w:val="0"/>
                <w:sz w:val="20"/>
                <w:szCs w:val="20"/>
                <w:lang w:eastAsia="it-IT"/>
                <w14:ligatures w14:val="none"/>
              </w:rPr>
            </w:pPr>
            <w:r w:rsidRPr="00B47608">
              <w:rPr>
                <w:rFonts w:eastAsia="Times New Roman" w:cs="Calibri"/>
                <w:color w:val="000000"/>
                <w:kern w:val="0"/>
                <w:sz w:val="20"/>
                <w:szCs w:val="20"/>
                <w:lang w:eastAsia="it-IT"/>
                <w14:ligatures w14:val="none"/>
              </w:rPr>
              <w:t>Numerosità</w:t>
            </w:r>
          </w:p>
        </w:tc>
        <w:tc>
          <w:tcPr>
            <w:tcW w:w="1308" w:type="pct"/>
            <w:shd w:val="clear" w:color="000000" w:fill="FFFFFF"/>
            <w:noWrap/>
            <w:vAlign w:val="center"/>
            <w:hideMark/>
          </w:tcPr>
          <w:p w14:paraId="189EAAC0" w14:textId="77777777" w:rsidR="009D4765" w:rsidRPr="00B47608" w:rsidRDefault="009D4765" w:rsidP="009D4765">
            <w:pPr>
              <w:spacing w:after="0" w:line="240" w:lineRule="auto"/>
              <w:jc w:val="center"/>
              <w:rPr>
                <w:rFonts w:eastAsia="Times New Roman" w:cs="Calibri"/>
                <w:color w:val="000000"/>
                <w:kern w:val="0"/>
                <w:sz w:val="20"/>
                <w:szCs w:val="20"/>
                <w:lang w:eastAsia="it-IT"/>
                <w14:ligatures w14:val="none"/>
              </w:rPr>
            </w:pPr>
            <w:r w:rsidRPr="00B47608">
              <w:rPr>
                <w:rFonts w:eastAsia="Times New Roman" w:cs="Calibri"/>
                <w:color w:val="000000"/>
                <w:kern w:val="0"/>
                <w:sz w:val="20"/>
                <w:szCs w:val="20"/>
                <w:lang w:eastAsia="it-IT"/>
                <w14:ligatures w14:val="none"/>
              </w:rPr>
              <w:t>120</w:t>
            </w:r>
          </w:p>
        </w:tc>
        <w:tc>
          <w:tcPr>
            <w:tcW w:w="1308" w:type="pct"/>
            <w:shd w:val="clear" w:color="000000" w:fill="FFFFFF"/>
            <w:noWrap/>
            <w:vAlign w:val="center"/>
            <w:hideMark/>
          </w:tcPr>
          <w:p w14:paraId="1A09559A" w14:textId="77777777" w:rsidR="009D4765" w:rsidRPr="00B47608" w:rsidRDefault="009D4765" w:rsidP="009D4765">
            <w:pPr>
              <w:spacing w:after="0" w:line="240" w:lineRule="auto"/>
              <w:jc w:val="center"/>
              <w:rPr>
                <w:rFonts w:eastAsia="Times New Roman" w:cs="Calibri"/>
                <w:color w:val="000000"/>
                <w:kern w:val="0"/>
                <w:sz w:val="20"/>
                <w:szCs w:val="20"/>
                <w:lang w:eastAsia="it-IT"/>
                <w14:ligatures w14:val="none"/>
              </w:rPr>
            </w:pPr>
            <w:r w:rsidRPr="00B47608">
              <w:rPr>
                <w:rFonts w:eastAsia="Times New Roman" w:cs="Calibri"/>
                <w:color w:val="000000"/>
                <w:kern w:val="0"/>
                <w:sz w:val="20"/>
                <w:szCs w:val="20"/>
                <w:lang w:eastAsia="it-IT"/>
                <w14:ligatures w14:val="none"/>
              </w:rPr>
              <w:t>128</w:t>
            </w:r>
          </w:p>
        </w:tc>
        <w:tc>
          <w:tcPr>
            <w:tcW w:w="1307" w:type="pct"/>
            <w:shd w:val="clear" w:color="000000" w:fill="FFFFFF"/>
            <w:noWrap/>
            <w:vAlign w:val="center"/>
            <w:hideMark/>
          </w:tcPr>
          <w:p w14:paraId="7325C437" w14:textId="77777777" w:rsidR="009D4765" w:rsidRPr="00B47608" w:rsidRDefault="009D4765" w:rsidP="009D4765">
            <w:pPr>
              <w:spacing w:after="0" w:line="240" w:lineRule="auto"/>
              <w:jc w:val="center"/>
              <w:rPr>
                <w:rFonts w:eastAsia="Times New Roman" w:cs="Calibri"/>
                <w:color w:val="000000"/>
                <w:kern w:val="0"/>
                <w:sz w:val="20"/>
                <w:szCs w:val="20"/>
                <w:lang w:eastAsia="it-IT"/>
                <w14:ligatures w14:val="none"/>
              </w:rPr>
            </w:pPr>
            <w:r w:rsidRPr="00B47608">
              <w:rPr>
                <w:rFonts w:eastAsia="Times New Roman" w:cs="Calibri"/>
                <w:color w:val="000000"/>
                <w:kern w:val="0"/>
                <w:sz w:val="20"/>
                <w:szCs w:val="20"/>
                <w:lang w:eastAsia="it-IT"/>
                <w14:ligatures w14:val="none"/>
              </w:rPr>
              <w:t>215</w:t>
            </w:r>
          </w:p>
        </w:tc>
      </w:tr>
    </w:tbl>
    <w:p w14:paraId="7D11E0DE" w14:textId="77777777" w:rsidR="009D4765" w:rsidRPr="00B47608" w:rsidRDefault="009D4765" w:rsidP="009D4765">
      <w:pPr>
        <w:spacing w:after="0"/>
      </w:pPr>
      <w:r w:rsidRPr="00B47608">
        <w:t>Fonte: Fondazione Nord Est (463 casi)</w:t>
      </w:r>
    </w:p>
    <w:p w14:paraId="2DEE8E63" w14:textId="77777777" w:rsidR="009D4765" w:rsidRPr="006445E6" w:rsidRDefault="009D4765" w:rsidP="00A05F01">
      <w:pPr>
        <w:spacing w:after="0"/>
        <w:jc w:val="both"/>
        <w:rPr>
          <w:b/>
          <w:bCs/>
          <w:sz w:val="20"/>
          <w:szCs w:val="20"/>
        </w:rPr>
      </w:pPr>
    </w:p>
    <w:p w14:paraId="3F82DC8A" w14:textId="77777777" w:rsidR="00333A06" w:rsidRPr="006445E6" w:rsidRDefault="00333A06" w:rsidP="00A05F01">
      <w:pPr>
        <w:spacing w:after="0"/>
        <w:jc w:val="both"/>
        <w:rPr>
          <w:sz w:val="20"/>
          <w:szCs w:val="20"/>
        </w:rPr>
      </w:pPr>
    </w:p>
    <w:p w14:paraId="1BC4FBFC" w14:textId="2262B33C" w:rsidR="00A05F01" w:rsidRPr="00B47608" w:rsidRDefault="00A05F01" w:rsidP="00A05F01">
      <w:pPr>
        <w:spacing w:after="0"/>
        <w:jc w:val="both"/>
      </w:pPr>
      <w:r w:rsidRPr="00B47608">
        <w:t xml:space="preserve">La tabella riporta la media delle esportazioni (valori percentuali) per ciascun </w:t>
      </w:r>
      <w:r w:rsidR="001F02F4" w:rsidRPr="00B47608">
        <w:t>profilo</w:t>
      </w:r>
      <w:r w:rsidRPr="00B47608">
        <w:t xml:space="preserve"> nei diversi mercati: interno (Italia), Unione Europea (UE) ed extra-UE.</w:t>
      </w:r>
      <w:r w:rsidR="001F02F4" w:rsidRPr="00B47608">
        <w:t xml:space="preserve"> Dall’analisi emergono tre gruppi: </w:t>
      </w:r>
    </w:p>
    <w:p w14:paraId="7E7472C4" w14:textId="77777777" w:rsidR="00A05F01" w:rsidRPr="00B47608" w:rsidRDefault="00A05F01" w:rsidP="00A05F01">
      <w:pPr>
        <w:spacing w:after="0"/>
        <w:jc w:val="both"/>
      </w:pPr>
    </w:p>
    <w:p w14:paraId="5463B879" w14:textId="254A9EE0" w:rsidR="00A05F01" w:rsidRPr="00B47608" w:rsidRDefault="009D4765" w:rsidP="00A05F01">
      <w:pPr>
        <w:spacing w:after="0"/>
        <w:jc w:val="both"/>
      </w:pPr>
      <w:r w:rsidRPr="00B47608">
        <w:rPr>
          <w:b/>
          <w:bCs/>
        </w:rPr>
        <w:t>Imprese orientate all’export</w:t>
      </w:r>
      <w:r w:rsidR="00A05F01" w:rsidRPr="00B47608">
        <w:t xml:space="preserve">: </w:t>
      </w:r>
      <w:r w:rsidR="001F02F4" w:rsidRPr="00B47608">
        <w:t>q</w:t>
      </w:r>
      <w:r w:rsidR="00A05F01" w:rsidRPr="00B47608">
        <w:t>uesto gruppo si caratterizza per un'elevata propensione all'export, con una quota dell'80% del fatturato complessivo. Le vendite sono ben distribuite tra mercato interno (20%), UE (53,3%) ed extra-UE (26,8%), evidenziando una strategia di internazionalizzazione avanzata e diversificata.</w:t>
      </w:r>
    </w:p>
    <w:p w14:paraId="34815160" w14:textId="5F494018" w:rsidR="001B2646" w:rsidRPr="00B47608" w:rsidRDefault="001B2646" w:rsidP="001B2646">
      <w:pPr>
        <w:spacing w:after="0"/>
        <w:jc w:val="both"/>
      </w:pPr>
      <w:r w:rsidRPr="00B47608">
        <w:rPr>
          <w:b/>
          <w:bCs/>
        </w:rPr>
        <w:t>Imprese in equilibrio tra export e mercato interno</w:t>
      </w:r>
      <w:r w:rsidRPr="00B47608">
        <w:t xml:space="preserve">: imprese che presentano una ripartizione delle vendite più equilibrata rispetto </w:t>
      </w:r>
      <w:r w:rsidR="00922125">
        <w:t>alle altre due categorie</w:t>
      </w:r>
      <w:r w:rsidRPr="00B47608">
        <w:t>. Pur mantenendo una presenza significativa sul mercato interno (50,7%), le esportazioni rappresentano una quota consistente del fatturato (49,3%), suddivise tra UE (26,8%) ed extra-UE (22,4%). Ciò indica una strategia di internazionalizzazione più strutturata rispetto agli "Esportatori occasionali", ma con un focus ancora rilevante sul mercato domestico.</w:t>
      </w:r>
    </w:p>
    <w:p w14:paraId="33C34AFF" w14:textId="2094970E" w:rsidR="00F463D7" w:rsidRPr="00B47608" w:rsidRDefault="001B2646" w:rsidP="00A05F01">
      <w:pPr>
        <w:spacing w:after="0"/>
        <w:jc w:val="both"/>
      </w:pPr>
      <w:r w:rsidRPr="00B47608">
        <w:rPr>
          <w:b/>
          <w:bCs/>
        </w:rPr>
        <w:t>Imprese orientate al mercato interno</w:t>
      </w:r>
      <w:r w:rsidR="00A05F01" w:rsidRPr="00B47608">
        <w:t xml:space="preserve">: </w:t>
      </w:r>
      <w:r w:rsidR="006F3041" w:rsidRPr="00B47608">
        <w:t>imprese che</w:t>
      </w:r>
      <w:r w:rsidR="00A05F01" w:rsidRPr="00B47608">
        <w:t xml:space="preserve"> concentra</w:t>
      </w:r>
      <w:r w:rsidR="006F3041" w:rsidRPr="00B47608">
        <w:t>no</w:t>
      </w:r>
      <w:r w:rsidR="00A05F01" w:rsidRPr="00B47608">
        <w:t xml:space="preserve"> le proprie vendite principalmente sul mercato interno (90,8%</w:t>
      </w:r>
      <w:r w:rsidR="00F463D7" w:rsidRPr="00B47608">
        <w:t xml:space="preserve"> il valore medio</w:t>
      </w:r>
      <w:r w:rsidR="00A05F01" w:rsidRPr="00B47608">
        <w:t>), con una quota di esportazioni molto limitata (9,2%). Le vendite verso UE ed extra-UE sono marginali (rispettivamente 5,8% e 3,4%), suggerendo un approccio all'internazionalizzazione limitato a opportunità specifiche.</w:t>
      </w:r>
    </w:p>
    <w:p w14:paraId="0E195F9E" w14:textId="5C1824BF" w:rsidR="00C373F9" w:rsidRDefault="00C373F9">
      <w:r>
        <w:br w:type="page"/>
      </w:r>
    </w:p>
    <w:p w14:paraId="25468B6E" w14:textId="77777777" w:rsidR="005D328A" w:rsidRPr="00B47608" w:rsidRDefault="005D328A" w:rsidP="005D328A">
      <w:pPr>
        <w:spacing w:after="0"/>
      </w:pPr>
    </w:p>
    <w:p w14:paraId="589BBCA8" w14:textId="71C38BD4" w:rsidR="00A31848" w:rsidRPr="00B47608" w:rsidRDefault="005D328A" w:rsidP="00A54B8A">
      <w:pPr>
        <w:spacing w:after="0"/>
        <w:jc w:val="both"/>
      </w:pPr>
      <w:r w:rsidRPr="00B47608">
        <w:t>Le imprese con una strategia di internazionalizzazione globale</w:t>
      </w:r>
      <w:r w:rsidR="00D304BE" w:rsidRPr="00B47608">
        <w:t xml:space="preserve"> (le imprese orientate all’export)</w:t>
      </w:r>
      <w:r w:rsidRPr="00B47608">
        <w:t xml:space="preserve"> </w:t>
      </w:r>
      <w:r w:rsidR="001F52EB" w:rsidRPr="00B47608">
        <w:t>operano con maggior frequenza nel</w:t>
      </w:r>
      <w:r w:rsidRPr="00B47608">
        <w:t xml:space="preserve"> settore della Metalmeccanica </w:t>
      </w:r>
      <w:r w:rsidR="001F52EB" w:rsidRPr="00B47608">
        <w:t>e tendono ad avere dimensioni più elevate rispetto a quelle medie</w:t>
      </w:r>
      <w:r w:rsidR="00D91784" w:rsidRPr="00B47608">
        <w:t xml:space="preserve"> </w:t>
      </w:r>
      <w:r w:rsidRPr="00B47608">
        <w:t xml:space="preserve">Le imprese </w:t>
      </w:r>
      <w:r w:rsidR="00D91784" w:rsidRPr="00B47608">
        <w:t>che hanno scelto</w:t>
      </w:r>
      <w:r w:rsidRPr="00B47608">
        <w:t xml:space="preserve"> una strategia di internazionalizzazione intermedia </w:t>
      </w:r>
      <w:r w:rsidR="00E61944" w:rsidRPr="00B47608">
        <w:t xml:space="preserve">(quelle in equilibrio tra export e mercato interno) </w:t>
      </w:r>
      <w:r w:rsidRPr="00B47608">
        <w:t>mostrano una maggiore eterogeneità, ma con una leggera prevalenza di imprese di grandi dimensioni</w:t>
      </w:r>
      <w:r w:rsidR="00242EDC" w:rsidRPr="00B47608">
        <w:t>, q</w:t>
      </w:r>
      <w:r w:rsidR="00E61944" w:rsidRPr="00B47608">
        <w:t>uelle focalizzate sul mercato interno sono più spesso, invece, di piccole dimensioni e operano in settori diversi rispetto alla meccanica.</w:t>
      </w:r>
    </w:p>
    <w:p w14:paraId="6BD8737C" w14:textId="77777777" w:rsidR="00A31848" w:rsidRPr="00B47608" w:rsidRDefault="00A31848" w:rsidP="005D328A">
      <w:pPr>
        <w:spacing w:after="0"/>
      </w:pPr>
    </w:p>
    <w:p w14:paraId="7001A9C0" w14:textId="12B9406C" w:rsidR="00A31848" w:rsidRPr="00B47608" w:rsidRDefault="00A31848" w:rsidP="00A31848">
      <w:pPr>
        <w:spacing w:after="0"/>
        <w:jc w:val="both"/>
        <w:rPr>
          <w:b/>
          <w:bCs/>
        </w:rPr>
      </w:pPr>
      <w:r w:rsidRPr="00B47608">
        <w:rPr>
          <w:b/>
          <w:bCs/>
        </w:rPr>
        <w:t>Tab. 1.2 – Imprese per cluster</w:t>
      </w:r>
      <w:r w:rsidR="00A54B8A" w:rsidRPr="00B47608">
        <w:rPr>
          <w:b/>
          <w:bCs/>
        </w:rPr>
        <w:t>, macrosettore e dimensioni</w:t>
      </w:r>
      <w:r w:rsidRPr="00B47608">
        <w:rPr>
          <w:b/>
          <w:bCs/>
        </w:rPr>
        <w:t xml:space="preserve"> (val.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85"/>
        <w:gridCol w:w="2515"/>
        <w:gridCol w:w="2515"/>
        <w:gridCol w:w="2513"/>
      </w:tblGrid>
      <w:tr w:rsidR="00D304BE" w:rsidRPr="00B47608" w14:paraId="433774DE" w14:textId="7B83432C" w:rsidTr="00C373F9">
        <w:trPr>
          <w:trHeight w:val="773"/>
        </w:trPr>
        <w:tc>
          <w:tcPr>
            <w:tcW w:w="1083" w:type="pct"/>
            <w:shd w:val="clear" w:color="auto" w:fill="auto"/>
            <w:noWrap/>
            <w:vAlign w:val="center"/>
            <w:hideMark/>
          </w:tcPr>
          <w:p w14:paraId="76B2497B" w14:textId="77777777" w:rsidR="00D304BE" w:rsidRPr="00B47608" w:rsidRDefault="00D304BE" w:rsidP="00D304BE">
            <w:pPr>
              <w:spacing w:after="0" w:line="240" w:lineRule="auto"/>
              <w:jc w:val="center"/>
              <w:rPr>
                <w:rFonts w:eastAsia="Times New Roman" w:cs="Times New Roman"/>
                <w:b/>
                <w:bCs/>
                <w:kern w:val="0"/>
                <w:sz w:val="24"/>
                <w:szCs w:val="24"/>
                <w:lang w:eastAsia="it-IT"/>
                <w14:ligatures w14:val="none"/>
              </w:rPr>
            </w:pPr>
          </w:p>
        </w:tc>
        <w:tc>
          <w:tcPr>
            <w:tcW w:w="1306" w:type="pct"/>
            <w:shd w:val="clear" w:color="auto" w:fill="auto"/>
            <w:noWrap/>
            <w:vAlign w:val="center"/>
            <w:hideMark/>
          </w:tcPr>
          <w:p w14:paraId="30B9F636" w14:textId="220623B1" w:rsidR="00D304BE" w:rsidRPr="00C373F9" w:rsidRDefault="00D304BE" w:rsidP="00D304BE">
            <w:pPr>
              <w:spacing w:after="0" w:line="240" w:lineRule="auto"/>
              <w:jc w:val="center"/>
              <w:rPr>
                <w:rFonts w:eastAsia="Times New Roman" w:cs="Calibri"/>
                <w:b/>
                <w:bCs/>
                <w:color w:val="000000"/>
                <w:kern w:val="0"/>
                <w:sz w:val="21"/>
                <w:szCs w:val="21"/>
                <w:lang w:eastAsia="it-IT"/>
                <w14:ligatures w14:val="none"/>
              </w:rPr>
            </w:pPr>
            <w:r w:rsidRPr="00C373F9">
              <w:rPr>
                <w:rFonts w:eastAsia="Times New Roman" w:cs="Calibri"/>
                <w:b/>
                <w:bCs/>
                <w:color w:val="000000"/>
                <w:kern w:val="0"/>
                <w:sz w:val="21"/>
                <w:szCs w:val="21"/>
                <w:lang w:eastAsia="it-IT"/>
                <w14:ligatures w14:val="none"/>
              </w:rPr>
              <w:t>Imprese orientate all'export</w:t>
            </w:r>
          </w:p>
        </w:tc>
        <w:tc>
          <w:tcPr>
            <w:tcW w:w="1306" w:type="pct"/>
            <w:shd w:val="clear" w:color="auto" w:fill="auto"/>
            <w:noWrap/>
            <w:vAlign w:val="center"/>
            <w:hideMark/>
          </w:tcPr>
          <w:p w14:paraId="20CD3375" w14:textId="40534AF5" w:rsidR="00D304BE" w:rsidRPr="00C373F9" w:rsidRDefault="00D304BE" w:rsidP="00D304BE">
            <w:pPr>
              <w:spacing w:after="0" w:line="240" w:lineRule="auto"/>
              <w:jc w:val="center"/>
              <w:rPr>
                <w:rFonts w:eastAsia="Times New Roman" w:cs="Calibri"/>
                <w:b/>
                <w:bCs/>
                <w:color w:val="000000"/>
                <w:kern w:val="0"/>
                <w:sz w:val="21"/>
                <w:szCs w:val="21"/>
                <w:lang w:eastAsia="it-IT"/>
                <w14:ligatures w14:val="none"/>
              </w:rPr>
            </w:pPr>
            <w:r w:rsidRPr="00C373F9">
              <w:rPr>
                <w:rFonts w:eastAsia="Times New Roman" w:cs="Calibri"/>
                <w:b/>
                <w:bCs/>
                <w:color w:val="000000"/>
                <w:kern w:val="0"/>
                <w:sz w:val="21"/>
                <w:szCs w:val="21"/>
                <w:lang w:eastAsia="it-IT"/>
                <w14:ligatures w14:val="none"/>
              </w:rPr>
              <w:t xml:space="preserve">Imprese in equilibrio tra </w:t>
            </w:r>
            <w:r w:rsidR="00C373F9" w:rsidRPr="00C373F9">
              <w:rPr>
                <w:rFonts w:eastAsia="Times New Roman" w:cs="Calibri"/>
                <w:b/>
                <w:bCs/>
                <w:color w:val="000000"/>
                <w:kern w:val="0"/>
                <w:sz w:val="21"/>
                <w:szCs w:val="21"/>
                <w:lang w:eastAsia="it-IT"/>
                <w14:ligatures w14:val="none"/>
              </w:rPr>
              <w:t>export e</w:t>
            </w:r>
            <w:r w:rsidRPr="00C373F9">
              <w:rPr>
                <w:rFonts w:eastAsia="Times New Roman" w:cs="Calibri"/>
                <w:b/>
                <w:bCs/>
                <w:color w:val="000000"/>
                <w:kern w:val="0"/>
                <w:sz w:val="21"/>
                <w:szCs w:val="21"/>
                <w:lang w:eastAsia="it-IT"/>
                <w14:ligatures w14:val="none"/>
              </w:rPr>
              <w:t xml:space="preserve"> mercato interno</w:t>
            </w:r>
          </w:p>
        </w:tc>
        <w:tc>
          <w:tcPr>
            <w:tcW w:w="1306" w:type="pct"/>
            <w:vAlign w:val="center"/>
          </w:tcPr>
          <w:p w14:paraId="75B4DB2E" w14:textId="66AB8253" w:rsidR="00D304BE" w:rsidRPr="00C373F9" w:rsidRDefault="00D304BE" w:rsidP="00D304BE">
            <w:pPr>
              <w:spacing w:after="0" w:line="240" w:lineRule="auto"/>
              <w:jc w:val="center"/>
              <w:rPr>
                <w:rFonts w:eastAsia="Times New Roman" w:cs="Calibri"/>
                <w:b/>
                <w:bCs/>
                <w:color w:val="000000"/>
                <w:kern w:val="0"/>
                <w:sz w:val="21"/>
                <w:szCs w:val="21"/>
                <w:lang w:eastAsia="it-IT"/>
                <w14:ligatures w14:val="none"/>
              </w:rPr>
            </w:pPr>
            <w:r w:rsidRPr="00C373F9">
              <w:rPr>
                <w:rFonts w:eastAsia="Times New Roman" w:cs="Calibri"/>
                <w:b/>
                <w:bCs/>
                <w:color w:val="000000"/>
                <w:kern w:val="0"/>
                <w:sz w:val="21"/>
                <w:szCs w:val="21"/>
                <w:lang w:eastAsia="it-IT"/>
                <w14:ligatures w14:val="none"/>
              </w:rPr>
              <w:t>Imprese orientate al mercato interno</w:t>
            </w:r>
          </w:p>
        </w:tc>
      </w:tr>
      <w:tr w:rsidR="00D304BE" w:rsidRPr="00B47608" w14:paraId="76202C15" w14:textId="718EA144" w:rsidTr="00C373F9">
        <w:trPr>
          <w:trHeight w:val="340"/>
        </w:trPr>
        <w:tc>
          <w:tcPr>
            <w:tcW w:w="1083" w:type="pct"/>
            <w:shd w:val="clear" w:color="auto" w:fill="auto"/>
            <w:noWrap/>
            <w:vAlign w:val="bottom"/>
            <w:hideMark/>
          </w:tcPr>
          <w:p w14:paraId="418B3AFF" w14:textId="77777777" w:rsidR="00D304BE" w:rsidRPr="00B47608" w:rsidRDefault="00D304BE" w:rsidP="00D304BE">
            <w:pPr>
              <w:spacing w:after="0" w:line="240" w:lineRule="auto"/>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 xml:space="preserve">Totale </w:t>
            </w:r>
          </w:p>
        </w:tc>
        <w:tc>
          <w:tcPr>
            <w:tcW w:w="1306" w:type="pct"/>
            <w:shd w:val="clear" w:color="auto" w:fill="auto"/>
            <w:noWrap/>
            <w:vAlign w:val="bottom"/>
            <w:hideMark/>
          </w:tcPr>
          <w:p w14:paraId="15631404" w14:textId="77777777" w:rsidR="00D304BE" w:rsidRPr="00B47608" w:rsidRDefault="00D304BE" w:rsidP="00D304BE">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25,9</w:t>
            </w:r>
          </w:p>
        </w:tc>
        <w:tc>
          <w:tcPr>
            <w:tcW w:w="1306" w:type="pct"/>
            <w:shd w:val="clear" w:color="auto" w:fill="auto"/>
            <w:noWrap/>
            <w:vAlign w:val="bottom"/>
            <w:hideMark/>
          </w:tcPr>
          <w:p w14:paraId="490EDBC4" w14:textId="77777777" w:rsidR="00D304BE" w:rsidRPr="00B47608" w:rsidRDefault="00D304BE" w:rsidP="00D304BE">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27,6</w:t>
            </w:r>
          </w:p>
        </w:tc>
        <w:tc>
          <w:tcPr>
            <w:tcW w:w="1306" w:type="pct"/>
            <w:vAlign w:val="bottom"/>
          </w:tcPr>
          <w:p w14:paraId="07CDAF42" w14:textId="5CB3AAA7" w:rsidR="00D304BE" w:rsidRPr="00B47608" w:rsidRDefault="00D304BE" w:rsidP="00D304BE">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46,5</w:t>
            </w:r>
          </w:p>
        </w:tc>
      </w:tr>
      <w:tr w:rsidR="00D304BE" w:rsidRPr="00B47608" w14:paraId="6360FA0F" w14:textId="0CEAEEAD" w:rsidTr="00C373F9">
        <w:trPr>
          <w:trHeight w:val="340"/>
        </w:trPr>
        <w:tc>
          <w:tcPr>
            <w:tcW w:w="1083" w:type="pct"/>
            <w:shd w:val="clear" w:color="auto" w:fill="auto"/>
            <w:noWrap/>
            <w:vAlign w:val="bottom"/>
            <w:hideMark/>
          </w:tcPr>
          <w:p w14:paraId="4B480702" w14:textId="77777777" w:rsidR="00D304BE" w:rsidRPr="00B47608" w:rsidRDefault="00D304BE" w:rsidP="00D304BE">
            <w:pPr>
              <w:spacing w:after="0" w:line="240" w:lineRule="auto"/>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Macrosettore</w:t>
            </w:r>
          </w:p>
        </w:tc>
        <w:tc>
          <w:tcPr>
            <w:tcW w:w="1306" w:type="pct"/>
            <w:shd w:val="clear" w:color="auto" w:fill="auto"/>
            <w:noWrap/>
            <w:vAlign w:val="bottom"/>
            <w:hideMark/>
          </w:tcPr>
          <w:p w14:paraId="2541A86D" w14:textId="77777777" w:rsidR="00D304BE" w:rsidRPr="00B47608" w:rsidRDefault="00D304BE" w:rsidP="00D304BE">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 </w:t>
            </w:r>
          </w:p>
        </w:tc>
        <w:tc>
          <w:tcPr>
            <w:tcW w:w="1306" w:type="pct"/>
            <w:shd w:val="clear" w:color="auto" w:fill="auto"/>
            <w:noWrap/>
            <w:vAlign w:val="bottom"/>
            <w:hideMark/>
          </w:tcPr>
          <w:p w14:paraId="59218E0F" w14:textId="77777777" w:rsidR="00D304BE" w:rsidRPr="00B47608" w:rsidRDefault="00D304BE" w:rsidP="00D304BE">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 </w:t>
            </w:r>
          </w:p>
        </w:tc>
        <w:tc>
          <w:tcPr>
            <w:tcW w:w="1306" w:type="pct"/>
            <w:vAlign w:val="bottom"/>
          </w:tcPr>
          <w:p w14:paraId="2BD315F3" w14:textId="73A6B636" w:rsidR="00D304BE" w:rsidRPr="00B47608" w:rsidRDefault="00D304BE" w:rsidP="00D304BE">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 </w:t>
            </w:r>
          </w:p>
        </w:tc>
      </w:tr>
      <w:tr w:rsidR="00D304BE" w:rsidRPr="00B47608" w14:paraId="2F279A8B" w14:textId="54A8F235" w:rsidTr="00C373F9">
        <w:trPr>
          <w:trHeight w:val="340"/>
        </w:trPr>
        <w:tc>
          <w:tcPr>
            <w:tcW w:w="1083" w:type="pct"/>
            <w:shd w:val="clear" w:color="auto" w:fill="auto"/>
            <w:noWrap/>
            <w:vAlign w:val="bottom"/>
            <w:hideMark/>
          </w:tcPr>
          <w:p w14:paraId="1A65F1BC" w14:textId="77777777" w:rsidR="00D304BE" w:rsidRPr="00B47608" w:rsidRDefault="00D304BE" w:rsidP="00D304BE">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Altri settori</w:t>
            </w:r>
          </w:p>
        </w:tc>
        <w:tc>
          <w:tcPr>
            <w:tcW w:w="1306" w:type="pct"/>
            <w:shd w:val="clear" w:color="auto" w:fill="auto"/>
            <w:noWrap/>
            <w:vAlign w:val="bottom"/>
            <w:hideMark/>
          </w:tcPr>
          <w:p w14:paraId="53F77C6F" w14:textId="77777777" w:rsidR="00D304BE" w:rsidRPr="00B47608" w:rsidRDefault="00D304BE" w:rsidP="00D304B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21,7</w:t>
            </w:r>
          </w:p>
        </w:tc>
        <w:tc>
          <w:tcPr>
            <w:tcW w:w="1306" w:type="pct"/>
            <w:shd w:val="clear" w:color="auto" w:fill="auto"/>
            <w:noWrap/>
            <w:vAlign w:val="bottom"/>
            <w:hideMark/>
          </w:tcPr>
          <w:p w14:paraId="7B9D957B" w14:textId="77777777" w:rsidR="00D304BE" w:rsidRPr="00B47608" w:rsidRDefault="00D304BE" w:rsidP="00D304B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25,1</w:t>
            </w:r>
          </w:p>
        </w:tc>
        <w:tc>
          <w:tcPr>
            <w:tcW w:w="1306" w:type="pct"/>
            <w:vAlign w:val="bottom"/>
          </w:tcPr>
          <w:p w14:paraId="7060B89D" w14:textId="5DA924E2" w:rsidR="00D304BE" w:rsidRPr="00B47608" w:rsidRDefault="00D304BE" w:rsidP="00D304B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53,2</w:t>
            </w:r>
          </w:p>
        </w:tc>
      </w:tr>
      <w:tr w:rsidR="00D304BE" w:rsidRPr="00B47608" w14:paraId="44F2245B" w14:textId="13591E79" w:rsidTr="00C373F9">
        <w:trPr>
          <w:trHeight w:val="340"/>
        </w:trPr>
        <w:tc>
          <w:tcPr>
            <w:tcW w:w="1083" w:type="pct"/>
            <w:shd w:val="clear" w:color="auto" w:fill="auto"/>
            <w:noWrap/>
            <w:vAlign w:val="bottom"/>
            <w:hideMark/>
          </w:tcPr>
          <w:p w14:paraId="1D608FA1" w14:textId="77777777" w:rsidR="00D304BE" w:rsidRPr="00B47608" w:rsidRDefault="00D304BE" w:rsidP="00D304BE">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Metalmeccanica</w:t>
            </w:r>
          </w:p>
        </w:tc>
        <w:tc>
          <w:tcPr>
            <w:tcW w:w="1306" w:type="pct"/>
            <w:shd w:val="clear" w:color="auto" w:fill="auto"/>
            <w:noWrap/>
            <w:vAlign w:val="bottom"/>
            <w:hideMark/>
          </w:tcPr>
          <w:p w14:paraId="1C72D1C2" w14:textId="77777777" w:rsidR="00D304BE" w:rsidRPr="00B47608" w:rsidRDefault="00D304BE" w:rsidP="00D304B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31,9</w:t>
            </w:r>
          </w:p>
        </w:tc>
        <w:tc>
          <w:tcPr>
            <w:tcW w:w="1306" w:type="pct"/>
            <w:shd w:val="clear" w:color="auto" w:fill="auto"/>
            <w:noWrap/>
            <w:vAlign w:val="bottom"/>
            <w:hideMark/>
          </w:tcPr>
          <w:p w14:paraId="35BBB010" w14:textId="77777777" w:rsidR="00D304BE" w:rsidRPr="00B47608" w:rsidRDefault="00D304BE" w:rsidP="00D304B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31,3</w:t>
            </w:r>
          </w:p>
        </w:tc>
        <w:tc>
          <w:tcPr>
            <w:tcW w:w="1306" w:type="pct"/>
            <w:vAlign w:val="bottom"/>
          </w:tcPr>
          <w:p w14:paraId="5CF2C386" w14:textId="3CF8E844" w:rsidR="00D304BE" w:rsidRPr="00B47608" w:rsidRDefault="00D304BE" w:rsidP="00D304B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36,8</w:t>
            </w:r>
          </w:p>
        </w:tc>
      </w:tr>
      <w:tr w:rsidR="00D304BE" w:rsidRPr="00B47608" w14:paraId="062D18F5" w14:textId="5E0872AA" w:rsidTr="00C373F9">
        <w:trPr>
          <w:trHeight w:val="340"/>
        </w:trPr>
        <w:tc>
          <w:tcPr>
            <w:tcW w:w="1083" w:type="pct"/>
            <w:shd w:val="clear" w:color="auto" w:fill="auto"/>
            <w:noWrap/>
            <w:vAlign w:val="bottom"/>
            <w:hideMark/>
          </w:tcPr>
          <w:p w14:paraId="18699818" w14:textId="77777777" w:rsidR="00D304BE" w:rsidRPr="00B47608" w:rsidRDefault="00D304BE" w:rsidP="00D304BE">
            <w:pPr>
              <w:spacing w:after="0" w:line="240" w:lineRule="auto"/>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Dimensioni</w:t>
            </w:r>
          </w:p>
        </w:tc>
        <w:tc>
          <w:tcPr>
            <w:tcW w:w="1306" w:type="pct"/>
            <w:shd w:val="clear" w:color="auto" w:fill="auto"/>
            <w:noWrap/>
            <w:vAlign w:val="bottom"/>
            <w:hideMark/>
          </w:tcPr>
          <w:p w14:paraId="25FC8CD0" w14:textId="77777777" w:rsidR="00D304BE" w:rsidRPr="00B47608" w:rsidRDefault="00D304BE" w:rsidP="00D304B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 </w:t>
            </w:r>
          </w:p>
        </w:tc>
        <w:tc>
          <w:tcPr>
            <w:tcW w:w="1306" w:type="pct"/>
            <w:shd w:val="clear" w:color="auto" w:fill="auto"/>
            <w:noWrap/>
            <w:vAlign w:val="bottom"/>
            <w:hideMark/>
          </w:tcPr>
          <w:p w14:paraId="3BA0D38F" w14:textId="77777777" w:rsidR="00D304BE" w:rsidRPr="00B47608" w:rsidRDefault="00D304BE" w:rsidP="00D304B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 </w:t>
            </w:r>
          </w:p>
        </w:tc>
        <w:tc>
          <w:tcPr>
            <w:tcW w:w="1306" w:type="pct"/>
            <w:vAlign w:val="bottom"/>
          </w:tcPr>
          <w:p w14:paraId="0523D92D" w14:textId="33F33D57" w:rsidR="00D304BE" w:rsidRPr="00B47608" w:rsidRDefault="00D304BE" w:rsidP="00D304B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 </w:t>
            </w:r>
          </w:p>
        </w:tc>
      </w:tr>
      <w:tr w:rsidR="00D304BE" w:rsidRPr="00B47608" w14:paraId="7A71F50C" w14:textId="0ACDC236" w:rsidTr="00C373F9">
        <w:trPr>
          <w:trHeight w:val="340"/>
        </w:trPr>
        <w:tc>
          <w:tcPr>
            <w:tcW w:w="1083" w:type="pct"/>
            <w:shd w:val="clear" w:color="auto" w:fill="auto"/>
            <w:noWrap/>
            <w:vAlign w:val="bottom"/>
            <w:hideMark/>
          </w:tcPr>
          <w:p w14:paraId="0B231D8A" w14:textId="77777777" w:rsidR="00D304BE" w:rsidRPr="00B47608" w:rsidRDefault="00D304BE" w:rsidP="00D304BE">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Meno di 50</w:t>
            </w:r>
          </w:p>
        </w:tc>
        <w:tc>
          <w:tcPr>
            <w:tcW w:w="1306" w:type="pct"/>
            <w:shd w:val="clear" w:color="auto" w:fill="auto"/>
            <w:noWrap/>
            <w:vAlign w:val="bottom"/>
            <w:hideMark/>
          </w:tcPr>
          <w:p w14:paraId="5D30E2E4" w14:textId="77777777" w:rsidR="00D304BE" w:rsidRPr="00B47608" w:rsidRDefault="00D304BE" w:rsidP="00D304B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22,9</w:t>
            </w:r>
          </w:p>
        </w:tc>
        <w:tc>
          <w:tcPr>
            <w:tcW w:w="1306" w:type="pct"/>
            <w:shd w:val="clear" w:color="auto" w:fill="auto"/>
            <w:noWrap/>
            <w:vAlign w:val="bottom"/>
            <w:hideMark/>
          </w:tcPr>
          <w:p w14:paraId="5681529E" w14:textId="77777777" w:rsidR="00D304BE" w:rsidRPr="00B47608" w:rsidRDefault="00D304BE" w:rsidP="00D304B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24,6</w:t>
            </w:r>
          </w:p>
        </w:tc>
        <w:tc>
          <w:tcPr>
            <w:tcW w:w="1306" w:type="pct"/>
            <w:vAlign w:val="bottom"/>
          </w:tcPr>
          <w:p w14:paraId="12A03F67" w14:textId="1584F4C5" w:rsidR="00D304BE" w:rsidRPr="00B47608" w:rsidRDefault="00D304BE" w:rsidP="00D304B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52,5</w:t>
            </w:r>
          </w:p>
        </w:tc>
      </w:tr>
      <w:tr w:rsidR="00D304BE" w:rsidRPr="00B47608" w14:paraId="35361EBD" w14:textId="016985AA" w:rsidTr="00C373F9">
        <w:trPr>
          <w:trHeight w:val="340"/>
        </w:trPr>
        <w:tc>
          <w:tcPr>
            <w:tcW w:w="1083" w:type="pct"/>
            <w:shd w:val="clear" w:color="auto" w:fill="auto"/>
            <w:noWrap/>
            <w:vAlign w:val="bottom"/>
            <w:hideMark/>
          </w:tcPr>
          <w:p w14:paraId="00D2CC11" w14:textId="77777777" w:rsidR="00D304BE" w:rsidRPr="00B47608" w:rsidRDefault="00D304BE" w:rsidP="00D304BE">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50 e più</w:t>
            </w:r>
          </w:p>
        </w:tc>
        <w:tc>
          <w:tcPr>
            <w:tcW w:w="1306" w:type="pct"/>
            <w:shd w:val="clear" w:color="auto" w:fill="auto"/>
            <w:noWrap/>
            <w:vAlign w:val="bottom"/>
            <w:hideMark/>
          </w:tcPr>
          <w:p w14:paraId="31EB61A6" w14:textId="77777777" w:rsidR="00D304BE" w:rsidRPr="00B47608" w:rsidRDefault="00D304BE" w:rsidP="00D304B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31,3</w:t>
            </w:r>
          </w:p>
        </w:tc>
        <w:tc>
          <w:tcPr>
            <w:tcW w:w="1306" w:type="pct"/>
            <w:shd w:val="clear" w:color="auto" w:fill="auto"/>
            <w:noWrap/>
            <w:vAlign w:val="bottom"/>
            <w:hideMark/>
          </w:tcPr>
          <w:p w14:paraId="64E3F0BF" w14:textId="77777777" w:rsidR="00D304BE" w:rsidRPr="00B47608" w:rsidRDefault="00D304BE" w:rsidP="00D304B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33,0</w:t>
            </w:r>
          </w:p>
        </w:tc>
        <w:tc>
          <w:tcPr>
            <w:tcW w:w="1306" w:type="pct"/>
            <w:vAlign w:val="bottom"/>
          </w:tcPr>
          <w:p w14:paraId="48396F3F" w14:textId="28AEEBF4" w:rsidR="00D304BE" w:rsidRPr="00B47608" w:rsidRDefault="00D304BE" w:rsidP="00D304B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35,7</w:t>
            </w:r>
          </w:p>
        </w:tc>
      </w:tr>
    </w:tbl>
    <w:p w14:paraId="7E75DB19" w14:textId="77777777" w:rsidR="00A31848" w:rsidRPr="00B47608" w:rsidRDefault="00A31848" w:rsidP="00A31848">
      <w:pPr>
        <w:spacing w:after="0"/>
      </w:pPr>
      <w:r w:rsidRPr="00B47608">
        <w:t>Fonte: Fondazione Nord Est (463 casi)</w:t>
      </w:r>
    </w:p>
    <w:p w14:paraId="760888FC" w14:textId="69A14B73" w:rsidR="006114CF" w:rsidRPr="00B47608" w:rsidRDefault="006114CF" w:rsidP="005D328A">
      <w:pPr>
        <w:spacing w:after="0"/>
        <w:rPr>
          <w:rFonts w:eastAsiaTheme="majorEastAsia" w:cstheme="majorBidi"/>
          <w:color w:val="0F4761" w:themeColor="accent1" w:themeShade="BF"/>
          <w:sz w:val="32"/>
          <w:szCs w:val="32"/>
        </w:rPr>
      </w:pPr>
      <w:r w:rsidRPr="00B47608">
        <w:br w:type="page"/>
      </w:r>
    </w:p>
    <w:p w14:paraId="7CE2BC6B" w14:textId="30345B37" w:rsidR="004356C5" w:rsidRPr="00B47608" w:rsidRDefault="008878A1" w:rsidP="00ED2A57">
      <w:pPr>
        <w:pStyle w:val="Titolo2"/>
        <w:spacing w:after="0"/>
        <w:rPr>
          <w:rFonts w:asciiTheme="minorHAnsi" w:hAnsiTheme="minorHAnsi"/>
        </w:rPr>
      </w:pPr>
      <w:bookmarkStart w:id="12" w:name="_Toc193106858"/>
      <w:r w:rsidRPr="00B47608">
        <w:rPr>
          <w:rFonts w:asciiTheme="minorHAnsi" w:hAnsiTheme="minorHAnsi"/>
        </w:rPr>
        <w:lastRenderedPageBreak/>
        <w:t xml:space="preserve">2. </w:t>
      </w:r>
      <w:r w:rsidR="006114CF" w:rsidRPr="00B47608">
        <w:rPr>
          <w:rFonts w:asciiTheme="minorHAnsi" w:hAnsiTheme="minorHAnsi"/>
        </w:rPr>
        <w:t>Uno sguardo al futuro</w:t>
      </w:r>
      <w:bookmarkEnd w:id="12"/>
    </w:p>
    <w:p w14:paraId="796A9B2A" w14:textId="77777777" w:rsidR="004356C5" w:rsidRPr="00B47608" w:rsidRDefault="004356C5" w:rsidP="00ED2A57">
      <w:pPr>
        <w:spacing w:after="0"/>
      </w:pPr>
    </w:p>
    <w:p w14:paraId="5E577B3A" w14:textId="77777777" w:rsidR="001A0C40" w:rsidRPr="00B47608" w:rsidRDefault="001A0C40" w:rsidP="00ED2A57">
      <w:pPr>
        <w:spacing w:after="0"/>
      </w:pPr>
    </w:p>
    <w:p w14:paraId="495EC81E" w14:textId="1C6ECE7D" w:rsidR="007F4028" w:rsidRPr="00B47608" w:rsidRDefault="002C46FD" w:rsidP="00ED2A57">
      <w:pPr>
        <w:spacing w:after="0"/>
        <w:jc w:val="both"/>
      </w:pPr>
      <w:r w:rsidRPr="00B47608">
        <w:t>Nel 2023 l’Italia ha registrato un volume delle esportazioni sostanzialmente in linea con l’anno precedente (-0,04%)</w:t>
      </w:r>
      <w:r w:rsidR="00165658" w:rsidRPr="00B47608">
        <w:t xml:space="preserve"> mentre</w:t>
      </w:r>
      <w:r w:rsidRPr="00B47608">
        <w:t xml:space="preserve"> </w:t>
      </w:r>
      <w:r w:rsidR="00165658" w:rsidRPr="00B47608">
        <w:t>i</w:t>
      </w:r>
      <w:r w:rsidRPr="00B47608">
        <w:t xml:space="preserve">l Veneto ha visto un arretramento dello 0,7%. </w:t>
      </w:r>
      <w:r w:rsidR="00062562" w:rsidRPr="00B47608">
        <w:t xml:space="preserve">Il 2024 si è chiuso, per il Veneto </w:t>
      </w:r>
      <w:r w:rsidR="00E14F54" w:rsidRPr="00B47608">
        <w:t>con una variazione negativa dell’1,8</w:t>
      </w:r>
      <w:proofErr w:type="gramStart"/>
      <w:r w:rsidR="00E14F54" w:rsidRPr="00B47608">
        <w:t xml:space="preserve">% </w:t>
      </w:r>
      <w:r w:rsidRPr="00B47608">
        <w:t xml:space="preserve"> -</w:t>
      </w:r>
      <w:proofErr w:type="gramEnd"/>
      <w:r w:rsidRPr="00B47608">
        <w:t>0,</w:t>
      </w:r>
      <w:r w:rsidR="00083061" w:rsidRPr="00B47608">
        <w:t>4</w:t>
      </w:r>
      <w:r w:rsidRPr="00B47608">
        <w:t>% il dato di Padova, -</w:t>
      </w:r>
      <w:r w:rsidR="00044D3D" w:rsidRPr="00B47608">
        <w:t>2%</w:t>
      </w:r>
      <w:r w:rsidRPr="00B47608">
        <w:t xml:space="preserve"> Rovigo, arretrano anche Treviso (-</w:t>
      </w:r>
      <w:r w:rsidR="008A097E" w:rsidRPr="00B47608">
        <w:t>1,7</w:t>
      </w:r>
      <w:r w:rsidRPr="00B47608">
        <w:t>%) e Venezia (-</w:t>
      </w:r>
      <w:r w:rsidR="008A097E" w:rsidRPr="00B47608">
        <w:t>9</w:t>
      </w:r>
      <w:r w:rsidRPr="00B47608">
        <w:t>%).</w:t>
      </w:r>
      <w:r w:rsidR="00C9653E" w:rsidRPr="00B47608">
        <w:t xml:space="preserve"> </w:t>
      </w:r>
    </w:p>
    <w:p w14:paraId="4FE9CC38" w14:textId="77777777" w:rsidR="007F4028" w:rsidRPr="00B47608" w:rsidRDefault="007F4028" w:rsidP="00ED2A57">
      <w:pPr>
        <w:spacing w:after="0"/>
        <w:jc w:val="both"/>
      </w:pPr>
    </w:p>
    <w:p w14:paraId="6B683906" w14:textId="72962ECF" w:rsidR="007F4028" w:rsidRPr="00B47608" w:rsidRDefault="007B07F6" w:rsidP="00ED2A57">
      <w:pPr>
        <w:spacing w:after="0"/>
        <w:jc w:val="both"/>
      </w:pPr>
      <w:r w:rsidRPr="00B47608">
        <w:t xml:space="preserve">Sul </w:t>
      </w:r>
      <w:r w:rsidR="002C46FD" w:rsidRPr="00B47608">
        <w:t>rallentamento delle esportazioni pesa</w:t>
      </w:r>
      <w:r w:rsidRPr="00B47608">
        <w:t>, sicuramente,</w:t>
      </w:r>
      <w:r w:rsidR="002C46FD" w:rsidRPr="00B47608">
        <w:t xml:space="preserve"> la brusca frenata dell’economia tedesca</w:t>
      </w:r>
      <w:r w:rsidRPr="00B47608">
        <w:t xml:space="preserve"> (si veda il capitolo 3)</w:t>
      </w:r>
      <w:r w:rsidR="002C46FD" w:rsidRPr="00B47608">
        <w:t xml:space="preserve"> ma anche una serie di fattori che stanno rapidamente cambiando gli scenari internazionali</w:t>
      </w:r>
      <w:r w:rsidR="005E5747" w:rsidRPr="00B47608">
        <w:t xml:space="preserve"> </w:t>
      </w:r>
      <w:r w:rsidR="00F23E0A" w:rsidRPr="00B47608">
        <w:t xml:space="preserve">come le </w:t>
      </w:r>
      <w:r w:rsidR="00807875" w:rsidRPr="00B47608">
        <w:t>tensioni nelle relazioni politiche</w:t>
      </w:r>
      <w:r w:rsidR="00F23E0A" w:rsidRPr="00B47608">
        <w:t xml:space="preserve"> e il</w:t>
      </w:r>
      <w:r w:rsidR="00807875" w:rsidRPr="00B47608">
        <w:t xml:space="preserve"> </w:t>
      </w:r>
      <w:r w:rsidR="00416DE6" w:rsidRPr="00B47608">
        <w:t>protezionismo</w:t>
      </w:r>
      <w:r w:rsidR="002C46FD" w:rsidRPr="00B47608">
        <w:t>. Per rilevare come le imprese stiano vivendo questa nuova situazione</w:t>
      </w:r>
      <w:r w:rsidR="00C9653E" w:rsidRPr="00B47608">
        <w:t xml:space="preserve"> una parte della</w:t>
      </w:r>
      <w:r w:rsidR="002C46FD" w:rsidRPr="00B47608">
        <w:t xml:space="preserve"> rilevazione 2024 dell’Osservatorio si è concentrata sul futuro. Come stanno interpretando le imprese i grandi cambiamenti che stiamo vivendo? Che strategie stanno mettendo in atto? </w:t>
      </w:r>
      <w:r w:rsidR="001460E9" w:rsidRPr="00B47608">
        <w:t xml:space="preserve">Che aspettative hanno per </w:t>
      </w:r>
      <w:r w:rsidR="00B67CF3" w:rsidRPr="00B47608">
        <w:t xml:space="preserve">il futuro? </w:t>
      </w:r>
    </w:p>
    <w:p w14:paraId="2A48CAED" w14:textId="77777777" w:rsidR="007F4028" w:rsidRPr="00B47608" w:rsidRDefault="007F4028" w:rsidP="00ED2A57">
      <w:pPr>
        <w:spacing w:after="0"/>
        <w:jc w:val="both"/>
      </w:pPr>
    </w:p>
    <w:p w14:paraId="34183FC6" w14:textId="00A23F6F" w:rsidR="006114CF" w:rsidRPr="00B47608" w:rsidRDefault="00B67CF3" w:rsidP="00ED2A57">
      <w:pPr>
        <w:spacing w:after="0"/>
        <w:jc w:val="both"/>
      </w:pPr>
      <w:r w:rsidRPr="00B47608">
        <w:t xml:space="preserve">Il secondo capitolo del Rapporto si concentra su questi temi partendo dalle aspettative di breve periodo. </w:t>
      </w:r>
      <w:r w:rsidR="00DF1FB2" w:rsidRPr="00B47608">
        <w:t>Per più della metà delle imprese</w:t>
      </w:r>
      <w:r w:rsidR="00CD4213" w:rsidRPr="00B47608">
        <w:t xml:space="preserve"> (53,9%)</w:t>
      </w:r>
      <w:r w:rsidR="00DF1FB2" w:rsidRPr="00B47608">
        <w:t xml:space="preserve"> le esportazioni nel 2025 saranno sostanzialmente in linea (</w:t>
      </w:r>
      <w:r w:rsidR="00CD4213" w:rsidRPr="00B47608">
        <w:t xml:space="preserve">+/- 3%) rispetto al dato 2024. </w:t>
      </w:r>
      <w:r w:rsidR="004A6519" w:rsidRPr="00B47608">
        <w:t xml:space="preserve">Più di un quarto (26,2%) si aspetta una crescita compresa tra il 3 e il 10%. </w:t>
      </w:r>
      <w:r w:rsidR="00F67198" w:rsidRPr="00B47608">
        <w:t xml:space="preserve">Una percentuale che sale al 30,2% tra le imprese della meccanica e al 30,5% tra quelle con più di 50 addetti. Quasi una impresa su 10 </w:t>
      </w:r>
      <w:r w:rsidR="00AC36D2" w:rsidRPr="00B47608">
        <w:t>(9,2%) si attende una crescita superiore al 10%</w:t>
      </w:r>
      <w:r w:rsidR="00697A48" w:rsidRPr="00B47608">
        <w:t xml:space="preserve">. </w:t>
      </w:r>
    </w:p>
    <w:p w14:paraId="40923E14" w14:textId="77777777" w:rsidR="00DF1FB2" w:rsidRPr="00B47608" w:rsidRDefault="00DF1FB2" w:rsidP="00ED2A57">
      <w:pPr>
        <w:spacing w:after="0"/>
      </w:pPr>
    </w:p>
    <w:p w14:paraId="30415B70" w14:textId="21744F50" w:rsidR="00B301D3" w:rsidRPr="00B47608" w:rsidRDefault="007F4028" w:rsidP="00ED2A57">
      <w:pPr>
        <w:spacing w:after="0"/>
        <w:rPr>
          <w:b/>
          <w:bCs/>
        </w:rPr>
      </w:pPr>
      <w:r w:rsidRPr="00B47608">
        <w:rPr>
          <w:b/>
          <w:bCs/>
        </w:rPr>
        <w:t xml:space="preserve">Graf. 2.1 </w:t>
      </w:r>
      <w:r w:rsidR="00B301D3" w:rsidRPr="00B47608">
        <w:rPr>
          <w:b/>
          <w:bCs/>
        </w:rPr>
        <w:t>Pensando alle esportazioni del prossimo anno (2025) quali sono le vostre attese</w:t>
      </w:r>
      <w:r w:rsidR="005D05FF" w:rsidRPr="00B47608">
        <w:rPr>
          <w:b/>
          <w:bCs/>
        </w:rPr>
        <w:t xml:space="preserve"> (val. %)</w:t>
      </w:r>
      <w:r w:rsidR="00B301D3" w:rsidRPr="00B47608">
        <w:rPr>
          <w:b/>
          <w:bCs/>
        </w:rPr>
        <w:t xml:space="preserve">?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06"/>
        <w:gridCol w:w="4388"/>
      </w:tblGrid>
      <w:tr w:rsidR="00ED3562" w:rsidRPr="00B47608" w14:paraId="6E41DB4E" w14:textId="77777777" w:rsidTr="0018185A">
        <w:tc>
          <w:tcPr>
            <w:tcW w:w="4106" w:type="dxa"/>
          </w:tcPr>
          <w:p w14:paraId="58E93EC0" w14:textId="2F09B608" w:rsidR="00060469" w:rsidRPr="00B47608" w:rsidRDefault="00060469" w:rsidP="00ED2A57">
            <w:r w:rsidRPr="00B47608">
              <w:t>a) per macrosettore</w:t>
            </w:r>
          </w:p>
        </w:tc>
        <w:tc>
          <w:tcPr>
            <w:tcW w:w="4388" w:type="dxa"/>
          </w:tcPr>
          <w:p w14:paraId="07193CE5" w14:textId="262E7A94" w:rsidR="00060469" w:rsidRPr="00B47608" w:rsidRDefault="0052329B" w:rsidP="00ED2A57">
            <w:r>
              <w:t xml:space="preserve">   </w:t>
            </w:r>
            <w:r w:rsidR="00060469" w:rsidRPr="00B47608">
              <w:t>b) per classe dimensionale</w:t>
            </w:r>
          </w:p>
        </w:tc>
      </w:tr>
      <w:tr w:rsidR="00ED3562" w:rsidRPr="00B47608" w14:paraId="3DC163CF" w14:textId="77777777" w:rsidTr="00010B48">
        <w:tblPrEx>
          <w:tblCellMar>
            <w:left w:w="70" w:type="dxa"/>
            <w:right w:w="70" w:type="dxa"/>
          </w:tblCellMar>
        </w:tblPrEx>
        <w:tc>
          <w:tcPr>
            <w:tcW w:w="4106" w:type="dxa"/>
          </w:tcPr>
          <w:p w14:paraId="6F872F6D" w14:textId="7F17DCE5" w:rsidR="00971E7C" w:rsidRPr="00B47608" w:rsidRDefault="005D05FF" w:rsidP="00ED2A57">
            <w:pPr>
              <w:rPr>
                <w:sz w:val="16"/>
                <w:szCs w:val="16"/>
              </w:rPr>
            </w:pPr>
            <w:r w:rsidRPr="00B47608">
              <w:rPr>
                <w:noProof/>
                <w:sz w:val="16"/>
                <w:szCs w:val="16"/>
              </w:rPr>
              <w:drawing>
                <wp:inline distT="0" distB="0" distL="0" distR="0" wp14:anchorId="51824543" wp14:editId="7FDBA020">
                  <wp:extent cx="2518410" cy="3177540"/>
                  <wp:effectExtent l="0" t="0" r="0" b="3810"/>
                  <wp:docPr id="2132008413" name="Grafico 1">
                    <a:extLst xmlns:a="http://schemas.openxmlformats.org/drawingml/2006/main">
                      <a:ext uri="{FF2B5EF4-FFF2-40B4-BE49-F238E27FC236}">
                        <a16:creationId xmlns:a16="http://schemas.microsoft.com/office/drawing/2014/main" id="{28AD2864-6357-D0D8-F8B1-B76EB92961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4388" w:type="dxa"/>
          </w:tcPr>
          <w:p w14:paraId="30335E9C" w14:textId="6786AF44" w:rsidR="00971E7C" w:rsidRPr="00B47608" w:rsidRDefault="00643EF7" w:rsidP="00ED2A57">
            <w:r>
              <w:rPr>
                <w:noProof/>
              </w:rPr>
              <w:drawing>
                <wp:anchor distT="0" distB="0" distL="114300" distR="114300" simplePos="0" relativeHeight="251659268" behindDoc="1" locked="0" layoutInCell="1" allowOverlap="1" wp14:anchorId="42155BDF" wp14:editId="4DA9E611">
                  <wp:simplePos x="0" y="0"/>
                  <wp:positionH relativeFrom="column">
                    <wp:posOffset>163830</wp:posOffset>
                  </wp:positionH>
                  <wp:positionV relativeFrom="paragraph">
                    <wp:posOffset>39370</wp:posOffset>
                  </wp:positionV>
                  <wp:extent cx="2697480" cy="3131820"/>
                  <wp:effectExtent l="0" t="0" r="7620" b="0"/>
                  <wp:wrapNone/>
                  <wp:docPr id="2001535390" name="Grafico 1">
                    <a:extLst xmlns:a="http://schemas.openxmlformats.org/drawingml/2006/main">
                      <a:ext uri="{FF2B5EF4-FFF2-40B4-BE49-F238E27FC236}">
                        <a16:creationId xmlns:a16="http://schemas.microsoft.com/office/drawing/2014/main" id="{9D7B7170-678B-4B3F-A83C-C33972C76F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V relativeFrom="margin">
                    <wp14:pctHeight>0</wp14:pctHeight>
                  </wp14:sizeRelV>
                </wp:anchor>
              </w:drawing>
            </w:r>
            <w:r w:rsidR="009604B5">
              <w:t xml:space="preserve">  </w:t>
            </w:r>
          </w:p>
        </w:tc>
      </w:tr>
    </w:tbl>
    <w:p w14:paraId="71BE8525" w14:textId="77777777" w:rsidR="007F4028" w:rsidRPr="00B47608" w:rsidRDefault="007F4028" w:rsidP="007F4028">
      <w:pPr>
        <w:spacing w:after="0"/>
      </w:pPr>
      <w:r w:rsidRPr="00B47608">
        <w:t>Fonte: Fondazione Nord Est (463 casi)</w:t>
      </w:r>
    </w:p>
    <w:p w14:paraId="0DDBAB3C" w14:textId="77777777" w:rsidR="00971E7C" w:rsidRPr="00B47608" w:rsidRDefault="00971E7C" w:rsidP="00ED2A57">
      <w:pPr>
        <w:spacing w:after="0"/>
      </w:pPr>
    </w:p>
    <w:p w14:paraId="7E6186DE" w14:textId="22F7AFB3" w:rsidR="007C31B7" w:rsidRPr="00B47608" w:rsidRDefault="007C31B7" w:rsidP="00ED2A57">
      <w:pPr>
        <w:spacing w:after="0"/>
        <w:jc w:val="both"/>
      </w:pPr>
      <w:r w:rsidRPr="00B47608">
        <w:t xml:space="preserve">In generale le imprese di dimensioni maggiori hanno migliori aspettative rispetto alle esportazioni </w:t>
      </w:r>
      <w:r w:rsidR="009E72E5" w:rsidRPr="00B47608">
        <w:t>2025</w:t>
      </w:r>
      <w:r w:rsidR="00AD0A64" w:rsidRPr="00B47608">
        <w:t>:</w:t>
      </w:r>
      <w:r w:rsidR="009E72E5" w:rsidRPr="00B47608">
        <w:t xml:space="preserve"> </w:t>
      </w:r>
      <w:r w:rsidR="00AD0A64" w:rsidRPr="00B47608">
        <w:t>i</w:t>
      </w:r>
      <w:r w:rsidR="009E72E5" w:rsidRPr="00B47608">
        <w:t>l 40,4% si aspetta una crescita rispetto all’anno passato</w:t>
      </w:r>
      <w:r w:rsidR="00FB2D0F" w:rsidRPr="00B47608">
        <w:t xml:space="preserve"> rispetto al </w:t>
      </w:r>
      <w:r w:rsidR="009F6E09" w:rsidRPr="00B47608">
        <w:t xml:space="preserve">32,5% che si riscontra tra quelle con meno di 50 addetti. </w:t>
      </w:r>
      <w:r w:rsidRPr="00B47608">
        <w:t xml:space="preserve"> </w:t>
      </w:r>
    </w:p>
    <w:p w14:paraId="547B397E" w14:textId="77777777" w:rsidR="00902B48" w:rsidRPr="00B47608" w:rsidRDefault="00902B48" w:rsidP="00ED2A57">
      <w:pPr>
        <w:spacing w:after="0"/>
        <w:jc w:val="both"/>
      </w:pPr>
    </w:p>
    <w:p w14:paraId="0E062A43" w14:textId="77777777" w:rsidR="00EC51E6" w:rsidRDefault="00EC51E6" w:rsidP="003B670C">
      <w:pPr>
        <w:spacing w:after="0"/>
        <w:jc w:val="both"/>
      </w:pPr>
    </w:p>
    <w:p w14:paraId="2554DF74" w14:textId="699180C6" w:rsidR="007C31B7" w:rsidRPr="00B47608" w:rsidRDefault="00A503E9" w:rsidP="003B670C">
      <w:pPr>
        <w:spacing w:after="0"/>
        <w:jc w:val="both"/>
      </w:pPr>
      <w:r w:rsidRPr="00B47608">
        <w:lastRenderedPageBreak/>
        <w:t>Se si guarda all’intensità di esportazione</w:t>
      </w:r>
      <w:r w:rsidR="000769B9" w:rsidRPr="00B47608">
        <w:rPr>
          <w:rStyle w:val="Rimandonotaapidipagina"/>
        </w:rPr>
        <w:footnoteReference w:id="2"/>
      </w:r>
      <w:r w:rsidRPr="00B47608">
        <w:t xml:space="preserve"> si rileva che le imprese che hanno </w:t>
      </w:r>
      <w:r w:rsidR="00427739" w:rsidRPr="00B47608">
        <w:t>una maggiore esposizione verso i mercati internazionali sono quelle che nutrono le aspettative migliori. Tra le im</w:t>
      </w:r>
      <w:r w:rsidR="00554BAE" w:rsidRPr="00B47608">
        <w:t>prese a</w:t>
      </w:r>
      <w:r w:rsidR="004440D1" w:rsidRPr="00B47608">
        <w:t xml:space="preserve"> media e</w:t>
      </w:r>
      <w:r w:rsidR="00554BAE" w:rsidRPr="00B47608">
        <w:t xml:space="preserve"> alta intensità di export</w:t>
      </w:r>
      <w:r w:rsidR="004440D1" w:rsidRPr="00B47608">
        <w:t>,</w:t>
      </w:r>
      <w:r w:rsidR="00554BAE" w:rsidRPr="00B47608">
        <w:t xml:space="preserve"> la quota di quelle che </w:t>
      </w:r>
      <w:r w:rsidR="002E25E0" w:rsidRPr="00B47608">
        <w:t xml:space="preserve">hanno aspettative positive </w:t>
      </w:r>
      <w:r w:rsidR="00AA2405" w:rsidRPr="00B47608">
        <w:t>(variazione</w:t>
      </w:r>
      <w:r w:rsidR="00084F4D" w:rsidRPr="00B47608">
        <w:t xml:space="preserve"> positiva </w:t>
      </w:r>
      <w:r w:rsidR="003B670C" w:rsidRPr="00B47608">
        <w:t>oltre al 3%</w:t>
      </w:r>
      <w:r w:rsidR="00AA2405" w:rsidRPr="00B47608">
        <w:t xml:space="preserve"> delle esportazioni) </w:t>
      </w:r>
      <w:r w:rsidR="003B670C" w:rsidRPr="00B47608">
        <w:t>superano il 40%</w:t>
      </w:r>
      <w:r w:rsidR="00C320D0" w:rsidRPr="00B47608">
        <w:t>.</w:t>
      </w:r>
    </w:p>
    <w:p w14:paraId="5ADDAB0E" w14:textId="77777777" w:rsidR="00E12C68" w:rsidRPr="00B47608" w:rsidRDefault="00E12C68" w:rsidP="003B670C">
      <w:pPr>
        <w:spacing w:after="0"/>
        <w:jc w:val="both"/>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D41BEE" w:rsidRPr="00B47608" w14:paraId="27EC93E1" w14:textId="77777777" w:rsidTr="007F4028">
        <w:tc>
          <w:tcPr>
            <w:tcW w:w="8504" w:type="dxa"/>
          </w:tcPr>
          <w:p w14:paraId="053D9E3F" w14:textId="555473CA" w:rsidR="00D41BEE" w:rsidRPr="00B47608" w:rsidRDefault="00D41BEE" w:rsidP="00ED2A57">
            <w:r w:rsidRPr="00B47608">
              <w:t xml:space="preserve">c) </w:t>
            </w:r>
            <w:r w:rsidR="00B85230" w:rsidRPr="00B47608">
              <w:t>per intensità di esportazione</w:t>
            </w:r>
          </w:p>
        </w:tc>
      </w:tr>
      <w:tr w:rsidR="00D41BEE" w:rsidRPr="00B47608" w14:paraId="12056103" w14:textId="77777777" w:rsidTr="00D86EAF">
        <w:tblPrEx>
          <w:tblCellMar>
            <w:left w:w="70" w:type="dxa"/>
            <w:right w:w="70" w:type="dxa"/>
          </w:tblCellMar>
        </w:tblPrEx>
        <w:tc>
          <w:tcPr>
            <w:tcW w:w="8504" w:type="dxa"/>
          </w:tcPr>
          <w:p w14:paraId="39F1F309" w14:textId="6B6F88A4" w:rsidR="00D41BEE" w:rsidRPr="00B47608" w:rsidRDefault="00D86EAF" w:rsidP="00ED2A57">
            <w:r>
              <w:rPr>
                <w:noProof/>
              </w:rPr>
              <w:drawing>
                <wp:inline distT="0" distB="0" distL="0" distR="0" wp14:anchorId="30D9FD94" wp14:editId="35E1F64D">
                  <wp:extent cx="6120130" cy="5104765"/>
                  <wp:effectExtent l="0" t="0" r="13970" b="635"/>
                  <wp:docPr id="1213940847" name="Grafico 1">
                    <a:extLst xmlns:a="http://schemas.openxmlformats.org/drawingml/2006/main">
                      <a:ext uri="{FF2B5EF4-FFF2-40B4-BE49-F238E27FC236}">
                        <a16:creationId xmlns:a16="http://schemas.microsoft.com/office/drawing/2014/main" id="{E83750EB-4BA3-4D45-A59F-F863125A90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bl>
    <w:p w14:paraId="609F5677" w14:textId="77777777" w:rsidR="007F4028" w:rsidRPr="00B47608" w:rsidRDefault="007F4028" w:rsidP="007F4028">
      <w:pPr>
        <w:spacing w:after="0"/>
      </w:pPr>
      <w:r w:rsidRPr="00B47608">
        <w:t>Fonte: Fondazione Nord Est (463 casi)</w:t>
      </w:r>
    </w:p>
    <w:p w14:paraId="27674AC5" w14:textId="77777777" w:rsidR="00236E91" w:rsidRPr="00B47608" w:rsidRDefault="00236E91" w:rsidP="00ED2A57">
      <w:pPr>
        <w:spacing w:after="0"/>
      </w:pPr>
    </w:p>
    <w:p w14:paraId="3862B47C" w14:textId="77777777" w:rsidR="00AE60E8" w:rsidRPr="00B47608" w:rsidRDefault="00AE60E8" w:rsidP="00ED2A57">
      <w:pPr>
        <w:spacing w:after="0"/>
      </w:pPr>
    </w:p>
    <w:p w14:paraId="526F4932" w14:textId="7CA36553" w:rsidR="00B301D3" w:rsidRPr="00B47608" w:rsidRDefault="00BB4952" w:rsidP="00ED2A57">
      <w:pPr>
        <w:spacing w:after="0"/>
        <w:jc w:val="both"/>
      </w:pPr>
      <w:r w:rsidRPr="00B47608">
        <w:t xml:space="preserve">Ma quali sono le strategie che le imprese </w:t>
      </w:r>
      <w:r w:rsidR="00235758" w:rsidRPr="00B47608">
        <w:t>introdurranno</w:t>
      </w:r>
      <w:r w:rsidRPr="00B47608">
        <w:t xml:space="preserve"> nel prossimo biennio per supportare la propria presenza sui mercati internazionali? </w:t>
      </w:r>
      <w:r w:rsidR="006018BD" w:rsidRPr="00B47608">
        <w:t>Quasi la metà delle imprese (46,7%) punta a</w:t>
      </w:r>
      <w:r w:rsidR="00732F8A" w:rsidRPr="00B47608">
        <w:t xml:space="preserve">d incrementare la presenza in mercati già serviti. </w:t>
      </w:r>
      <w:r w:rsidR="00666909" w:rsidRPr="00B47608">
        <w:t xml:space="preserve">Una strategia che sembra convincere maggiormente le imprese </w:t>
      </w:r>
      <w:r w:rsidR="008851B7" w:rsidRPr="00B47608">
        <w:t xml:space="preserve">che hanno una media intensità </w:t>
      </w:r>
      <w:proofErr w:type="spellStart"/>
      <w:r w:rsidR="008851B7" w:rsidRPr="00B47608">
        <w:t>esportativa</w:t>
      </w:r>
      <w:proofErr w:type="spellEnd"/>
      <w:r w:rsidR="008851B7" w:rsidRPr="00B47608">
        <w:t xml:space="preserve"> (59,4%)</w:t>
      </w:r>
      <w:r w:rsidR="00D75205" w:rsidRPr="00B47608">
        <w:t xml:space="preserve"> e quelle </w:t>
      </w:r>
      <w:r w:rsidR="00666909" w:rsidRPr="00B47608">
        <w:t>di dimensioni maggiori (53,6%)</w:t>
      </w:r>
      <w:r w:rsidR="00D75205" w:rsidRPr="00B47608">
        <w:t xml:space="preserve">. </w:t>
      </w:r>
      <w:r w:rsidR="0048760A" w:rsidRPr="00B47608">
        <w:t xml:space="preserve">Solamente il 16,7% sceglie di sviluppare la propria presenza in nuovi mercati. </w:t>
      </w:r>
      <w:r w:rsidR="00B07B6F" w:rsidRPr="00B47608">
        <w:t>Se si guarda alle aspettative delle imprese per l’anno entrante emerge che quelle che hanno aspettative più positive sono quelle più attive in termini di strategie</w:t>
      </w:r>
      <w:r w:rsidR="0025657E" w:rsidRPr="00B47608">
        <w:t>, sia con azioni diretti ai mercati già serviti (62,8%), che su mercati nuovi (25,7%).</w:t>
      </w:r>
    </w:p>
    <w:p w14:paraId="0981F7AF" w14:textId="77777777" w:rsidR="00B301D3" w:rsidRPr="00B47608" w:rsidRDefault="00B301D3" w:rsidP="00ED2A57">
      <w:pPr>
        <w:spacing w:after="0"/>
      </w:pPr>
    </w:p>
    <w:p w14:paraId="24DFE91E" w14:textId="3CFEF665" w:rsidR="00B301D3" w:rsidRPr="00B47608" w:rsidRDefault="00C34A7F" w:rsidP="00C34A7F">
      <w:pPr>
        <w:spacing w:after="120"/>
        <w:jc w:val="both"/>
        <w:rPr>
          <w:b/>
          <w:bCs/>
        </w:rPr>
      </w:pPr>
      <w:r w:rsidRPr="00B47608">
        <w:rPr>
          <w:b/>
          <w:bCs/>
        </w:rPr>
        <w:lastRenderedPageBreak/>
        <w:t>Tab. 2.1 Qual è la strategia prevalente che nei prossimi due anni seguirete per supportare la presenza della vostra impresa sui mercati internazionali nel prossimo biennio? (Val.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72"/>
        <w:gridCol w:w="1192"/>
        <w:gridCol w:w="1192"/>
        <w:gridCol w:w="1192"/>
        <w:gridCol w:w="1192"/>
        <w:gridCol w:w="1188"/>
      </w:tblGrid>
      <w:tr w:rsidR="00767A4D" w:rsidRPr="00B47608" w14:paraId="50A59BBC" w14:textId="77777777" w:rsidTr="00C34A7F">
        <w:trPr>
          <w:trHeight w:val="2530"/>
        </w:trPr>
        <w:tc>
          <w:tcPr>
            <w:tcW w:w="1907" w:type="pct"/>
            <w:shd w:val="clear" w:color="auto" w:fill="auto"/>
            <w:noWrap/>
            <w:vAlign w:val="bottom"/>
            <w:hideMark/>
          </w:tcPr>
          <w:p w14:paraId="264B4FDE" w14:textId="77777777" w:rsidR="00767A4D" w:rsidRPr="00B47608" w:rsidRDefault="00767A4D" w:rsidP="00767A4D">
            <w:pPr>
              <w:spacing w:after="0" w:line="240" w:lineRule="auto"/>
              <w:rPr>
                <w:rFonts w:eastAsia="Times New Roman" w:cs="Times New Roman"/>
                <w:kern w:val="0"/>
                <w:sz w:val="24"/>
                <w:szCs w:val="24"/>
                <w:lang w:eastAsia="it-IT"/>
                <w14:ligatures w14:val="none"/>
              </w:rPr>
            </w:pPr>
          </w:p>
        </w:tc>
        <w:tc>
          <w:tcPr>
            <w:tcW w:w="619" w:type="pct"/>
            <w:shd w:val="clear" w:color="auto" w:fill="auto"/>
            <w:textDirection w:val="btLr"/>
            <w:vAlign w:val="center"/>
            <w:hideMark/>
          </w:tcPr>
          <w:p w14:paraId="3243CE31" w14:textId="77777777" w:rsidR="00767A4D" w:rsidRPr="00B47608" w:rsidRDefault="00767A4D" w:rsidP="00767A4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Incrementeremo la nostra presenza nei paesi già serviti</w:t>
            </w:r>
          </w:p>
        </w:tc>
        <w:tc>
          <w:tcPr>
            <w:tcW w:w="619" w:type="pct"/>
            <w:shd w:val="clear" w:color="auto" w:fill="auto"/>
            <w:textDirection w:val="btLr"/>
            <w:vAlign w:val="center"/>
            <w:hideMark/>
          </w:tcPr>
          <w:p w14:paraId="6E49FFC5" w14:textId="77777777" w:rsidR="00767A4D" w:rsidRPr="00B47608" w:rsidRDefault="00767A4D" w:rsidP="00767A4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Svilupperemo la presenza in nuovi mercati</w:t>
            </w:r>
          </w:p>
        </w:tc>
        <w:tc>
          <w:tcPr>
            <w:tcW w:w="619" w:type="pct"/>
            <w:shd w:val="clear" w:color="auto" w:fill="auto"/>
            <w:textDirection w:val="btLr"/>
            <w:vAlign w:val="center"/>
            <w:hideMark/>
          </w:tcPr>
          <w:p w14:paraId="27E61DD5" w14:textId="77777777" w:rsidR="00767A4D" w:rsidRPr="00B47608" w:rsidRDefault="00767A4D" w:rsidP="00767A4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Altra strategia</w:t>
            </w:r>
          </w:p>
        </w:tc>
        <w:tc>
          <w:tcPr>
            <w:tcW w:w="619" w:type="pct"/>
            <w:shd w:val="clear" w:color="auto" w:fill="auto"/>
            <w:textDirection w:val="btLr"/>
            <w:vAlign w:val="center"/>
            <w:hideMark/>
          </w:tcPr>
          <w:p w14:paraId="42133232" w14:textId="77777777" w:rsidR="00767A4D" w:rsidRPr="00B47608" w:rsidRDefault="00767A4D" w:rsidP="00767A4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 xml:space="preserve">Nessuna di queste e </w:t>
            </w:r>
            <w:proofErr w:type="spellStart"/>
            <w:r w:rsidRPr="00B47608">
              <w:rPr>
                <w:rFonts w:eastAsia="Times New Roman" w:cs="Calibri"/>
                <w:color w:val="000000"/>
                <w:kern w:val="0"/>
                <w:lang w:eastAsia="it-IT"/>
                <w14:ligatures w14:val="none"/>
              </w:rPr>
              <w:t>n.r</w:t>
            </w:r>
            <w:proofErr w:type="spellEnd"/>
            <w:r w:rsidRPr="00B47608">
              <w:rPr>
                <w:rFonts w:eastAsia="Times New Roman" w:cs="Calibri"/>
                <w:color w:val="000000"/>
                <w:kern w:val="0"/>
                <w:lang w:eastAsia="it-IT"/>
                <w14:ligatures w14:val="none"/>
              </w:rPr>
              <w:t>.</w:t>
            </w:r>
          </w:p>
        </w:tc>
        <w:tc>
          <w:tcPr>
            <w:tcW w:w="619" w:type="pct"/>
            <w:shd w:val="clear" w:color="auto" w:fill="auto"/>
            <w:textDirection w:val="btLr"/>
            <w:vAlign w:val="center"/>
            <w:hideMark/>
          </w:tcPr>
          <w:p w14:paraId="75797C61" w14:textId="77777777" w:rsidR="00767A4D" w:rsidRPr="00B47608" w:rsidRDefault="00767A4D" w:rsidP="00767A4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Totale</w:t>
            </w:r>
          </w:p>
        </w:tc>
      </w:tr>
      <w:tr w:rsidR="00767A4D" w:rsidRPr="00B47608" w14:paraId="0B9E7B1D" w14:textId="77777777" w:rsidTr="00C34A7F">
        <w:trPr>
          <w:trHeight w:val="312"/>
        </w:trPr>
        <w:tc>
          <w:tcPr>
            <w:tcW w:w="1907" w:type="pct"/>
            <w:shd w:val="clear" w:color="auto" w:fill="auto"/>
            <w:noWrap/>
            <w:vAlign w:val="bottom"/>
            <w:hideMark/>
          </w:tcPr>
          <w:p w14:paraId="7C5456EE" w14:textId="77777777" w:rsidR="00767A4D" w:rsidRPr="00B47608" w:rsidRDefault="00767A4D" w:rsidP="00767A4D">
            <w:pPr>
              <w:spacing w:after="0" w:line="240" w:lineRule="auto"/>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Tutti</w:t>
            </w:r>
          </w:p>
        </w:tc>
        <w:tc>
          <w:tcPr>
            <w:tcW w:w="619" w:type="pct"/>
            <w:shd w:val="clear" w:color="000000" w:fill="F8E984"/>
            <w:noWrap/>
            <w:vAlign w:val="bottom"/>
            <w:hideMark/>
          </w:tcPr>
          <w:p w14:paraId="4A97EE48" w14:textId="0EB25A03" w:rsidR="00767A4D" w:rsidRPr="00B47608" w:rsidRDefault="00767A4D" w:rsidP="00767A4D">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46,7</w:t>
            </w:r>
          </w:p>
        </w:tc>
        <w:tc>
          <w:tcPr>
            <w:tcW w:w="619" w:type="pct"/>
            <w:shd w:val="clear" w:color="000000" w:fill="F8E984"/>
            <w:noWrap/>
            <w:vAlign w:val="bottom"/>
            <w:hideMark/>
          </w:tcPr>
          <w:p w14:paraId="419D29E1" w14:textId="6B33ECDE" w:rsidR="00767A4D" w:rsidRPr="00B47608" w:rsidRDefault="00767A4D" w:rsidP="00767A4D">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16,7</w:t>
            </w:r>
          </w:p>
        </w:tc>
        <w:tc>
          <w:tcPr>
            <w:tcW w:w="619" w:type="pct"/>
            <w:shd w:val="clear" w:color="000000" w:fill="FEEB84"/>
            <w:noWrap/>
            <w:vAlign w:val="bottom"/>
            <w:hideMark/>
          </w:tcPr>
          <w:p w14:paraId="455C81E4" w14:textId="4213014D" w:rsidR="00767A4D" w:rsidRPr="00B47608" w:rsidRDefault="00767A4D" w:rsidP="00767A4D">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3,9</w:t>
            </w:r>
          </w:p>
        </w:tc>
        <w:tc>
          <w:tcPr>
            <w:tcW w:w="619" w:type="pct"/>
            <w:shd w:val="clear" w:color="000000" w:fill="FEE783"/>
            <w:noWrap/>
            <w:vAlign w:val="bottom"/>
            <w:hideMark/>
          </w:tcPr>
          <w:p w14:paraId="08EFE9EA" w14:textId="6E25BC2A" w:rsidR="00767A4D" w:rsidRPr="00B47608" w:rsidRDefault="00767A4D" w:rsidP="00767A4D">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32,6</w:t>
            </w:r>
          </w:p>
        </w:tc>
        <w:tc>
          <w:tcPr>
            <w:tcW w:w="619" w:type="pct"/>
            <w:shd w:val="clear" w:color="auto" w:fill="auto"/>
            <w:noWrap/>
            <w:vAlign w:val="bottom"/>
            <w:hideMark/>
          </w:tcPr>
          <w:p w14:paraId="76ED6090" w14:textId="7A531E1B" w:rsidR="00767A4D" w:rsidRPr="00B47608" w:rsidRDefault="00767A4D" w:rsidP="000E5614">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w:t>
            </w:r>
          </w:p>
        </w:tc>
      </w:tr>
      <w:tr w:rsidR="00767A4D" w:rsidRPr="00B47608" w14:paraId="625CA99F" w14:textId="77777777" w:rsidTr="00C34A7F">
        <w:trPr>
          <w:trHeight w:val="312"/>
        </w:trPr>
        <w:tc>
          <w:tcPr>
            <w:tcW w:w="1907" w:type="pct"/>
            <w:shd w:val="clear" w:color="auto" w:fill="auto"/>
            <w:noWrap/>
            <w:vAlign w:val="bottom"/>
            <w:hideMark/>
          </w:tcPr>
          <w:p w14:paraId="59E5B251" w14:textId="77777777" w:rsidR="00767A4D" w:rsidRPr="00B47608" w:rsidRDefault="00767A4D" w:rsidP="00767A4D">
            <w:pPr>
              <w:spacing w:after="0" w:line="240" w:lineRule="auto"/>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Macrosettore</w:t>
            </w:r>
          </w:p>
        </w:tc>
        <w:tc>
          <w:tcPr>
            <w:tcW w:w="619" w:type="pct"/>
            <w:shd w:val="clear" w:color="auto" w:fill="auto"/>
            <w:noWrap/>
            <w:vAlign w:val="bottom"/>
            <w:hideMark/>
          </w:tcPr>
          <w:p w14:paraId="5BF6C2C3" w14:textId="77777777" w:rsidR="00767A4D" w:rsidRPr="00B47608" w:rsidRDefault="00767A4D" w:rsidP="00767A4D">
            <w:pPr>
              <w:spacing w:after="0" w:line="240" w:lineRule="auto"/>
              <w:rPr>
                <w:rFonts w:eastAsia="Times New Roman" w:cs="Calibri"/>
                <w:b/>
                <w:bCs/>
                <w:color w:val="000000"/>
                <w:kern w:val="0"/>
                <w:lang w:eastAsia="it-IT"/>
                <w14:ligatures w14:val="none"/>
              </w:rPr>
            </w:pPr>
          </w:p>
        </w:tc>
        <w:tc>
          <w:tcPr>
            <w:tcW w:w="619" w:type="pct"/>
            <w:shd w:val="clear" w:color="auto" w:fill="auto"/>
            <w:noWrap/>
            <w:vAlign w:val="bottom"/>
            <w:hideMark/>
          </w:tcPr>
          <w:p w14:paraId="249A9DEA" w14:textId="77777777" w:rsidR="00767A4D" w:rsidRPr="00B47608" w:rsidRDefault="00767A4D" w:rsidP="00767A4D">
            <w:pPr>
              <w:spacing w:after="0" w:line="240" w:lineRule="auto"/>
              <w:jc w:val="center"/>
              <w:rPr>
                <w:rFonts w:eastAsia="Times New Roman" w:cs="Times New Roman"/>
                <w:kern w:val="0"/>
                <w:sz w:val="20"/>
                <w:szCs w:val="20"/>
                <w:lang w:eastAsia="it-IT"/>
                <w14:ligatures w14:val="none"/>
              </w:rPr>
            </w:pPr>
          </w:p>
        </w:tc>
        <w:tc>
          <w:tcPr>
            <w:tcW w:w="619" w:type="pct"/>
            <w:shd w:val="clear" w:color="auto" w:fill="auto"/>
            <w:noWrap/>
            <w:vAlign w:val="bottom"/>
            <w:hideMark/>
          </w:tcPr>
          <w:p w14:paraId="5AA8E323" w14:textId="77777777" w:rsidR="00767A4D" w:rsidRPr="00B47608" w:rsidRDefault="00767A4D" w:rsidP="00767A4D">
            <w:pPr>
              <w:spacing w:after="0" w:line="240" w:lineRule="auto"/>
              <w:jc w:val="center"/>
              <w:rPr>
                <w:rFonts w:eastAsia="Times New Roman" w:cs="Times New Roman"/>
                <w:kern w:val="0"/>
                <w:sz w:val="20"/>
                <w:szCs w:val="20"/>
                <w:lang w:eastAsia="it-IT"/>
                <w14:ligatures w14:val="none"/>
              </w:rPr>
            </w:pPr>
          </w:p>
        </w:tc>
        <w:tc>
          <w:tcPr>
            <w:tcW w:w="619" w:type="pct"/>
            <w:shd w:val="clear" w:color="auto" w:fill="auto"/>
            <w:noWrap/>
            <w:vAlign w:val="bottom"/>
            <w:hideMark/>
          </w:tcPr>
          <w:p w14:paraId="1C1E9A59" w14:textId="77777777" w:rsidR="00767A4D" w:rsidRPr="00B47608" w:rsidRDefault="00767A4D" w:rsidP="00767A4D">
            <w:pPr>
              <w:spacing w:after="0" w:line="240" w:lineRule="auto"/>
              <w:jc w:val="center"/>
              <w:rPr>
                <w:rFonts w:eastAsia="Times New Roman" w:cs="Times New Roman"/>
                <w:kern w:val="0"/>
                <w:sz w:val="20"/>
                <w:szCs w:val="20"/>
                <w:lang w:eastAsia="it-IT"/>
                <w14:ligatures w14:val="none"/>
              </w:rPr>
            </w:pPr>
          </w:p>
        </w:tc>
        <w:tc>
          <w:tcPr>
            <w:tcW w:w="619" w:type="pct"/>
            <w:shd w:val="clear" w:color="auto" w:fill="auto"/>
            <w:noWrap/>
            <w:vAlign w:val="bottom"/>
            <w:hideMark/>
          </w:tcPr>
          <w:p w14:paraId="5D13F9A2" w14:textId="77777777" w:rsidR="00767A4D" w:rsidRPr="00B47608" w:rsidRDefault="00767A4D" w:rsidP="000E5614">
            <w:pPr>
              <w:spacing w:after="0" w:line="240" w:lineRule="auto"/>
              <w:jc w:val="center"/>
              <w:rPr>
                <w:rFonts w:eastAsia="Times New Roman" w:cs="Times New Roman"/>
                <w:kern w:val="0"/>
                <w:sz w:val="20"/>
                <w:szCs w:val="20"/>
                <w:lang w:eastAsia="it-IT"/>
                <w14:ligatures w14:val="none"/>
              </w:rPr>
            </w:pPr>
          </w:p>
        </w:tc>
      </w:tr>
      <w:tr w:rsidR="00767A4D" w:rsidRPr="00B47608" w14:paraId="2D83C179" w14:textId="77777777" w:rsidTr="00C34A7F">
        <w:trPr>
          <w:trHeight w:val="312"/>
        </w:trPr>
        <w:tc>
          <w:tcPr>
            <w:tcW w:w="1907" w:type="pct"/>
            <w:shd w:val="clear" w:color="auto" w:fill="auto"/>
            <w:noWrap/>
            <w:vAlign w:val="bottom"/>
            <w:hideMark/>
          </w:tcPr>
          <w:p w14:paraId="17E41693" w14:textId="77777777" w:rsidR="00767A4D" w:rsidRPr="00B47608" w:rsidRDefault="00767A4D" w:rsidP="00767A4D">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Altri settori</w:t>
            </w:r>
          </w:p>
        </w:tc>
        <w:tc>
          <w:tcPr>
            <w:tcW w:w="619" w:type="pct"/>
            <w:shd w:val="clear" w:color="000000" w:fill="FEE783"/>
            <w:noWrap/>
            <w:vAlign w:val="bottom"/>
            <w:hideMark/>
          </w:tcPr>
          <w:p w14:paraId="2442C8C4" w14:textId="66F4DAF7" w:rsidR="00767A4D" w:rsidRPr="00B47608" w:rsidRDefault="00767A4D" w:rsidP="00767A4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45,0</w:t>
            </w:r>
          </w:p>
        </w:tc>
        <w:tc>
          <w:tcPr>
            <w:tcW w:w="619" w:type="pct"/>
            <w:shd w:val="clear" w:color="000000" w:fill="FEDD81"/>
            <w:noWrap/>
            <w:vAlign w:val="bottom"/>
            <w:hideMark/>
          </w:tcPr>
          <w:p w14:paraId="311CC5FF" w14:textId="5A811317" w:rsidR="00767A4D" w:rsidRPr="00B47608" w:rsidRDefault="00767A4D" w:rsidP="00767A4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15,8</w:t>
            </w:r>
          </w:p>
        </w:tc>
        <w:tc>
          <w:tcPr>
            <w:tcW w:w="619" w:type="pct"/>
            <w:shd w:val="clear" w:color="000000" w:fill="FDC87D"/>
            <w:noWrap/>
            <w:vAlign w:val="bottom"/>
            <w:hideMark/>
          </w:tcPr>
          <w:p w14:paraId="37E4835B" w14:textId="24C63FA2" w:rsidR="00767A4D" w:rsidRPr="00B47608" w:rsidRDefault="00767A4D" w:rsidP="00767A4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3,5</w:t>
            </w:r>
          </w:p>
        </w:tc>
        <w:tc>
          <w:tcPr>
            <w:tcW w:w="619" w:type="pct"/>
            <w:shd w:val="clear" w:color="000000" w:fill="F5E984"/>
            <w:noWrap/>
            <w:vAlign w:val="bottom"/>
            <w:hideMark/>
          </w:tcPr>
          <w:p w14:paraId="54900AFB" w14:textId="6484015E" w:rsidR="00767A4D" w:rsidRPr="00B47608" w:rsidRDefault="00767A4D" w:rsidP="00767A4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35,6</w:t>
            </w:r>
          </w:p>
        </w:tc>
        <w:tc>
          <w:tcPr>
            <w:tcW w:w="619" w:type="pct"/>
            <w:shd w:val="clear" w:color="auto" w:fill="auto"/>
            <w:noWrap/>
            <w:vAlign w:val="bottom"/>
            <w:hideMark/>
          </w:tcPr>
          <w:p w14:paraId="35021F9E" w14:textId="61B6F1B6" w:rsidR="00767A4D" w:rsidRPr="00B47608" w:rsidRDefault="00767A4D" w:rsidP="000E5614">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w:t>
            </w:r>
          </w:p>
        </w:tc>
      </w:tr>
      <w:tr w:rsidR="00767A4D" w:rsidRPr="00B47608" w14:paraId="567E8F68" w14:textId="77777777" w:rsidTr="00C34A7F">
        <w:trPr>
          <w:trHeight w:val="312"/>
        </w:trPr>
        <w:tc>
          <w:tcPr>
            <w:tcW w:w="1907" w:type="pct"/>
            <w:shd w:val="clear" w:color="auto" w:fill="auto"/>
            <w:noWrap/>
            <w:vAlign w:val="bottom"/>
            <w:hideMark/>
          </w:tcPr>
          <w:p w14:paraId="32A206F7" w14:textId="77777777" w:rsidR="00767A4D" w:rsidRPr="00B47608" w:rsidRDefault="00767A4D" w:rsidP="00767A4D">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Metalmeccanica</w:t>
            </w:r>
          </w:p>
        </w:tc>
        <w:tc>
          <w:tcPr>
            <w:tcW w:w="619" w:type="pct"/>
            <w:shd w:val="clear" w:color="000000" w:fill="E1E383"/>
            <w:noWrap/>
            <w:vAlign w:val="bottom"/>
            <w:hideMark/>
          </w:tcPr>
          <w:p w14:paraId="0CF1FA90" w14:textId="13BD4D3D" w:rsidR="00767A4D" w:rsidRPr="00B47608" w:rsidRDefault="00767A4D" w:rsidP="00767A4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49,2</w:t>
            </w:r>
          </w:p>
        </w:tc>
        <w:tc>
          <w:tcPr>
            <w:tcW w:w="619" w:type="pct"/>
            <w:shd w:val="clear" w:color="000000" w:fill="E2E383"/>
            <w:noWrap/>
            <w:vAlign w:val="bottom"/>
            <w:hideMark/>
          </w:tcPr>
          <w:p w14:paraId="3A262F12" w14:textId="6048DFC5" w:rsidR="00767A4D" w:rsidRPr="00B47608" w:rsidRDefault="00767A4D" w:rsidP="00767A4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18,1</w:t>
            </w:r>
          </w:p>
        </w:tc>
        <w:tc>
          <w:tcPr>
            <w:tcW w:w="619" w:type="pct"/>
            <w:shd w:val="clear" w:color="000000" w:fill="CEDD82"/>
            <w:noWrap/>
            <w:vAlign w:val="bottom"/>
            <w:hideMark/>
          </w:tcPr>
          <w:p w14:paraId="65E88753" w14:textId="66BD74C3" w:rsidR="00767A4D" w:rsidRPr="00B47608" w:rsidRDefault="00767A4D" w:rsidP="00767A4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4,5</w:t>
            </w:r>
          </w:p>
        </w:tc>
        <w:tc>
          <w:tcPr>
            <w:tcW w:w="619" w:type="pct"/>
            <w:shd w:val="clear" w:color="000000" w:fill="FDD17F"/>
            <w:noWrap/>
            <w:vAlign w:val="bottom"/>
            <w:hideMark/>
          </w:tcPr>
          <w:p w14:paraId="249C676D" w14:textId="0D3541C6" w:rsidR="00767A4D" w:rsidRPr="00B47608" w:rsidRDefault="00767A4D" w:rsidP="00767A4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28,3</w:t>
            </w:r>
          </w:p>
        </w:tc>
        <w:tc>
          <w:tcPr>
            <w:tcW w:w="619" w:type="pct"/>
            <w:shd w:val="clear" w:color="auto" w:fill="auto"/>
            <w:noWrap/>
            <w:vAlign w:val="bottom"/>
            <w:hideMark/>
          </w:tcPr>
          <w:p w14:paraId="1F388622" w14:textId="4263AF5B" w:rsidR="00767A4D" w:rsidRPr="00B47608" w:rsidRDefault="00767A4D" w:rsidP="000E5614">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w:t>
            </w:r>
          </w:p>
        </w:tc>
      </w:tr>
      <w:tr w:rsidR="00767A4D" w:rsidRPr="00B47608" w14:paraId="498B21A6" w14:textId="77777777" w:rsidTr="00C34A7F">
        <w:trPr>
          <w:trHeight w:val="312"/>
        </w:trPr>
        <w:tc>
          <w:tcPr>
            <w:tcW w:w="1907" w:type="pct"/>
            <w:shd w:val="clear" w:color="auto" w:fill="auto"/>
            <w:noWrap/>
            <w:vAlign w:val="bottom"/>
            <w:hideMark/>
          </w:tcPr>
          <w:p w14:paraId="50506671" w14:textId="77777777" w:rsidR="00767A4D" w:rsidRPr="00B47608" w:rsidRDefault="00767A4D" w:rsidP="00767A4D">
            <w:pPr>
              <w:spacing w:after="0" w:line="240" w:lineRule="auto"/>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Dimensioni</w:t>
            </w:r>
          </w:p>
        </w:tc>
        <w:tc>
          <w:tcPr>
            <w:tcW w:w="619" w:type="pct"/>
            <w:shd w:val="clear" w:color="auto" w:fill="auto"/>
            <w:noWrap/>
            <w:vAlign w:val="bottom"/>
            <w:hideMark/>
          </w:tcPr>
          <w:p w14:paraId="3776D8D7" w14:textId="77777777" w:rsidR="00767A4D" w:rsidRPr="00B47608" w:rsidRDefault="00767A4D" w:rsidP="00767A4D">
            <w:pPr>
              <w:spacing w:after="0" w:line="240" w:lineRule="auto"/>
              <w:rPr>
                <w:rFonts w:eastAsia="Times New Roman" w:cs="Calibri"/>
                <w:b/>
                <w:bCs/>
                <w:color w:val="000000"/>
                <w:kern w:val="0"/>
                <w:lang w:eastAsia="it-IT"/>
                <w14:ligatures w14:val="none"/>
              </w:rPr>
            </w:pPr>
          </w:p>
        </w:tc>
        <w:tc>
          <w:tcPr>
            <w:tcW w:w="619" w:type="pct"/>
            <w:shd w:val="clear" w:color="auto" w:fill="auto"/>
            <w:noWrap/>
            <w:vAlign w:val="bottom"/>
            <w:hideMark/>
          </w:tcPr>
          <w:p w14:paraId="65697723" w14:textId="77777777" w:rsidR="00767A4D" w:rsidRPr="00B47608" w:rsidRDefault="00767A4D" w:rsidP="00767A4D">
            <w:pPr>
              <w:spacing w:after="0" w:line="240" w:lineRule="auto"/>
              <w:jc w:val="center"/>
              <w:rPr>
                <w:rFonts w:eastAsia="Times New Roman" w:cs="Times New Roman"/>
                <w:kern w:val="0"/>
                <w:sz w:val="20"/>
                <w:szCs w:val="20"/>
                <w:lang w:eastAsia="it-IT"/>
                <w14:ligatures w14:val="none"/>
              </w:rPr>
            </w:pPr>
          </w:p>
        </w:tc>
        <w:tc>
          <w:tcPr>
            <w:tcW w:w="619" w:type="pct"/>
            <w:shd w:val="clear" w:color="auto" w:fill="auto"/>
            <w:noWrap/>
            <w:vAlign w:val="bottom"/>
            <w:hideMark/>
          </w:tcPr>
          <w:p w14:paraId="1A0C5B0D" w14:textId="77777777" w:rsidR="00767A4D" w:rsidRPr="00B47608" w:rsidRDefault="00767A4D" w:rsidP="00767A4D">
            <w:pPr>
              <w:spacing w:after="0" w:line="240" w:lineRule="auto"/>
              <w:jc w:val="center"/>
              <w:rPr>
                <w:rFonts w:eastAsia="Times New Roman" w:cs="Times New Roman"/>
                <w:kern w:val="0"/>
                <w:sz w:val="20"/>
                <w:szCs w:val="20"/>
                <w:lang w:eastAsia="it-IT"/>
                <w14:ligatures w14:val="none"/>
              </w:rPr>
            </w:pPr>
          </w:p>
        </w:tc>
        <w:tc>
          <w:tcPr>
            <w:tcW w:w="619" w:type="pct"/>
            <w:shd w:val="clear" w:color="auto" w:fill="auto"/>
            <w:noWrap/>
            <w:vAlign w:val="bottom"/>
            <w:hideMark/>
          </w:tcPr>
          <w:p w14:paraId="670DB353" w14:textId="77777777" w:rsidR="00767A4D" w:rsidRPr="00B47608" w:rsidRDefault="00767A4D" w:rsidP="00767A4D">
            <w:pPr>
              <w:spacing w:after="0" w:line="240" w:lineRule="auto"/>
              <w:jc w:val="center"/>
              <w:rPr>
                <w:rFonts w:eastAsia="Times New Roman" w:cs="Times New Roman"/>
                <w:kern w:val="0"/>
                <w:sz w:val="20"/>
                <w:szCs w:val="20"/>
                <w:lang w:eastAsia="it-IT"/>
                <w14:ligatures w14:val="none"/>
              </w:rPr>
            </w:pPr>
          </w:p>
        </w:tc>
        <w:tc>
          <w:tcPr>
            <w:tcW w:w="619" w:type="pct"/>
            <w:shd w:val="clear" w:color="auto" w:fill="auto"/>
            <w:noWrap/>
            <w:vAlign w:val="bottom"/>
            <w:hideMark/>
          </w:tcPr>
          <w:p w14:paraId="13A55A6F" w14:textId="77777777" w:rsidR="00767A4D" w:rsidRPr="00B47608" w:rsidRDefault="00767A4D" w:rsidP="000E5614">
            <w:pPr>
              <w:spacing w:after="0" w:line="240" w:lineRule="auto"/>
              <w:jc w:val="center"/>
              <w:rPr>
                <w:rFonts w:eastAsia="Times New Roman" w:cs="Times New Roman"/>
                <w:kern w:val="0"/>
                <w:sz w:val="20"/>
                <w:szCs w:val="20"/>
                <w:lang w:eastAsia="it-IT"/>
                <w14:ligatures w14:val="none"/>
              </w:rPr>
            </w:pPr>
          </w:p>
        </w:tc>
      </w:tr>
      <w:tr w:rsidR="00767A4D" w:rsidRPr="00B47608" w14:paraId="3AA1CD6E" w14:textId="77777777" w:rsidTr="00C34A7F">
        <w:trPr>
          <w:trHeight w:val="312"/>
        </w:trPr>
        <w:tc>
          <w:tcPr>
            <w:tcW w:w="1907" w:type="pct"/>
            <w:shd w:val="clear" w:color="auto" w:fill="auto"/>
            <w:noWrap/>
            <w:vAlign w:val="bottom"/>
            <w:hideMark/>
          </w:tcPr>
          <w:p w14:paraId="7996C886" w14:textId="77777777" w:rsidR="00767A4D" w:rsidRPr="00B47608" w:rsidRDefault="00767A4D" w:rsidP="00767A4D">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Meno di 50</w:t>
            </w:r>
          </w:p>
        </w:tc>
        <w:tc>
          <w:tcPr>
            <w:tcW w:w="619" w:type="pct"/>
            <w:shd w:val="clear" w:color="000000" w:fill="FEDE81"/>
            <w:noWrap/>
            <w:vAlign w:val="bottom"/>
            <w:hideMark/>
          </w:tcPr>
          <w:p w14:paraId="2897BA1D" w14:textId="7082294E" w:rsidR="00767A4D" w:rsidRPr="00B47608" w:rsidRDefault="00767A4D" w:rsidP="00767A4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42,8</w:t>
            </w:r>
          </w:p>
        </w:tc>
        <w:tc>
          <w:tcPr>
            <w:tcW w:w="619" w:type="pct"/>
            <w:shd w:val="clear" w:color="000000" w:fill="CEDD82"/>
            <w:noWrap/>
            <w:vAlign w:val="bottom"/>
            <w:hideMark/>
          </w:tcPr>
          <w:p w14:paraId="5FCBA0B5" w14:textId="4C779B02" w:rsidR="00767A4D" w:rsidRPr="00B47608" w:rsidRDefault="00767A4D" w:rsidP="00767A4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19,3</w:t>
            </w:r>
          </w:p>
        </w:tc>
        <w:tc>
          <w:tcPr>
            <w:tcW w:w="619" w:type="pct"/>
            <w:shd w:val="clear" w:color="000000" w:fill="FEE983"/>
            <w:noWrap/>
            <w:vAlign w:val="bottom"/>
            <w:hideMark/>
          </w:tcPr>
          <w:p w14:paraId="21E1261C" w14:textId="2382775E" w:rsidR="00767A4D" w:rsidRPr="00B47608" w:rsidRDefault="00767A4D" w:rsidP="00767A4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3,9</w:t>
            </w:r>
          </w:p>
        </w:tc>
        <w:tc>
          <w:tcPr>
            <w:tcW w:w="619" w:type="pct"/>
            <w:shd w:val="clear" w:color="000000" w:fill="FCEB84"/>
            <w:noWrap/>
            <w:vAlign w:val="bottom"/>
            <w:hideMark/>
          </w:tcPr>
          <w:p w14:paraId="557FB84B" w14:textId="5F2A0A3E" w:rsidR="00767A4D" w:rsidRPr="00B47608" w:rsidRDefault="00767A4D" w:rsidP="00767A4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34,0</w:t>
            </w:r>
          </w:p>
        </w:tc>
        <w:tc>
          <w:tcPr>
            <w:tcW w:w="619" w:type="pct"/>
            <w:shd w:val="clear" w:color="auto" w:fill="auto"/>
            <w:noWrap/>
            <w:vAlign w:val="bottom"/>
            <w:hideMark/>
          </w:tcPr>
          <w:p w14:paraId="1FCDF0F6" w14:textId="054B008B" w:rsidR="00767A4D" w:rsidRPr="00B47608" w:rsidRDefault="00767A4D" w:rsidP="000E5614">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w:t>
            </w:r>
          </w:p>
        </w:tc>
      </w:tr>
      <w:tr w:rsidR="00767A4D" w:rsidRPr="00B47608" w14:paraId="60A1F993" w14:textId="77777777" w:rsidTr="00C34A7F">
        <w:trPr>
          <w:trHeight w:val="312"/>
        </w:trPr>
        <w:tc>
          <w:tcPr>
            <w:tcW w:w="1907" w:type="pct"/>
            <w:shd w:val="clear" w:color="auto" w:fill="auto"/>
            <w:noWrap/>
            <w:vAlign w:val="bottom"/>
            <w:hideMark/>
          </w:tcPr>
          <w:p w14:paraId="6C52DA69" w14:textId="77777777" w:rsidR="00767A4D" w:rsidRPr="00B47608" w:rsidRDefault="00767A4D" w:rsidP="00767A4D">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50 e più</w:t>
            </w:r>
          </w:p>
        </w:tc>
        <w:tc>
          <w:tcPr>
            <w:tcW w:w="619" w:type="pct"/>
            <w:shd w:val="clear" w:color="000000" w:fill="B8D780"/>
            <w:noWrap/>
            <w:vAlign w:val="bottom"/>
            <w:hideMark/>
          </w:tcPr>
          <w:p w14:paraId="4191EC19" w14:textId="753D544C" w:rsidR="00767A4D" w:rsidRPr="00B47608" w:rsidRDefault="00767A4D" w:rsidP="00767A4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53,6</w:t>
            </w:r>
          </w:p>
        </w:tc>
        <w:tc>
          <w:tcPr>
            <w:tcW w:w="619" w:type="pct"/>
            <w:shd w:val="clear" w:color="000000" w:fill="F8736D"/>
            <w:noWrap/>
            <w:vAlign w:val="bottom"/>
            <w:hideMark/>
          </w:tcPr>
          <w:p w14:paraId="161B61F6" w14:textId="4CD7D1EF" w:rsidR="00767A4D" w:rsidRPr="00B47608" w:rsidRDefault="00767A4D" w:rsidP="00767A4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12,3</w:t>
            </w:r>
          </w:p>
        </w:tc>
        <w:tc>
          <w:tcPr>
            <w:tcW w:w="619" w:type="pct"/>
            <w:shd w:val="clear" w:color="000000" w:fill="F9EA84"/>
            <w:noWrap/>
            <w:vAlign w:val="bottom"/>
            <w:hideMark/>
          </w:tcPr>
          <w:p w14:paraId="3389DCE8" w14:textId="0E9D8E13" w:rsidR="00767A4D" w:rsidRPr="00B47608" w:rsidRDefault="00767A4D" w:rsidP="00767A4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4,0</w:t>
            </w:r>
          </w:p>
        </w:tc>
        <w:tc>
          <w:tcPr>
            <w:tcW w:w="619" w:type="pct"/>
            <w:shd w:val="clear" w:color="000000" w:fill="FEDA80"/>
            <w:noWrap/>
            <w:vAlign w:val="bottom"/>
            <w:hideMark/>
          </w:tcPr>
          <w:p w14:paraId="4AEC6F25" w14:textId="4D6036FC" w:rsidR="00767A4D" w:rsidRPr="00B47608" w:rsidRDefault="00767A4D" w:rsidP="00767A4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30,1</w:t>
            </w:r>
          </w:p>
        </w:tc>
        <w:tc>
          <w:tcPr>
            <w:tcW w:w="619" w:type="pct"/>
            <w:shd w:val="clear" w:color="auto" w:fill="auto"/>
            <w:noWrap/>
            <w:vAlign w:val="bottom"/>
            <w:hideMark/>
          </w:tcPr>
          <w:p w14:paraId="6B70C77D" w14:textId="296076BD" w:rsidR="00767A4D" w:rsidRPr="00B47608" w:rsidRDefault="00767A4D" w:rsidP="000E5614">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w:t>
            </w:r>
          </w:p>
        </w:tc>
      </w:tr>
      <w:tr w:rsidR="00767A4D" w:rsidRPr="00B47608" w14:paraId="313262D2" w14:textId="77777777" w:rsidTr="00C34A7F">
        <w:trPr>
          <w:trHeight w:val="312"/>
        </w:trPr>
        <w:tc>
          <w:tcPr>
            <w:tcW w:w="1907" w:type="pct"/>
            <w:shd w:val="clear" w:color="auto" w:fill="auto"/>
            <w:noWrap/>
            <w:vAlign w:val="bottom"/>
            <w:hideMark/>
          </w:tcPr>
          <w:p w14:paraId="40F05D49" w14:textId="77777777" w:rsidR="00767A4D" w:rsidRPr="00B47608" w:rsidRDefault="00767A4D" w:rsidP="00767A4D">
            <w:pPr>
              <w:spacing w:after="0" w:line="240" w:lineRule="auto"/>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Propensione all'esportazione</w:t>
            </w:r>
          </w:p>
        </w:tc>
        <w:tc>
          <w:tcPr>
            <w:tcW w:w="619" w:type="pct"/>
            <w:shd w:val="clear" w:color="auto" w:fill="auto"/>
            <w:noWrap/>
            <w:vAlign w:val="bottom"/>
            <w:hideMark/>
          </w:tcPr>
          <w:p w14:paraId="60378E09" w14:textId="77777777" w:rsidR="00767A4D" w:rsidRPr="00B47608" w:rsidRDefault="00767A4D" w:rsidP="00767A4D">
            <w:pPr>
              <w:spacing w:after="0" w:line="240" w:lineRule="auto"/>
              <w:rPr>
                <w:rFonts w:eastAsia="Times New Roman" w:cs="Calibri"/>
                <w:b/>
                <w:bCs/>
                <w:color w:val="000000"/>
                <w:kern w:val="0"/>
                <w:lang w:eastAsia="it-IT"/>
                <w14:ligatures w14:val="none"/>
              </w:rPr>
            </w:pPr>
          </w:p>
        </w:tc>
        <w:tc>
          <w:tcPr>
            <w:tcW w:w="619" w:type="pct"/>
            <w:shd w:val="clear" w:color="auto" w:fill="auto"/>
            <w:noWrap/>
            <w:vAlign w:val="bottom"/>
            <w:hideMark/>
          </w:tcPr>
          <w:p w14:paraId="4E50EB46" w14:textId="77777777" w:rsidR="00767A4D" w:rsidRPr="00B47608" w:rsidRDefault="00767A4D" w:rsidP="00767A4D">
            <w:pPr>
              <w:spacing w:after="0" w:line="240" w:lineRule="auto"/>
              <w:jc w:val="center"/>
              <w:rPr>
                <w:rFonts w:eastAsia="Times New Roman" w:cs="Times New Roman"/>
                <w:kern w:val="0"/>
                <w:sz w:val="20"/>
                <w:szCs w:val="20"/>
                <w:lang w:eastAsia="it-IT"/>
                <w14:ligatures w14:val="none"/>
              </w:rPr>
            </w:pPr>
          </w:p>
        </w:tc>
        <w:tc>
          <w:tcPr>
            <w:tcW w:w="619" w:type="pct"/>
            <w:shd w:val="clear" w:color="auto" w:fill="auto"/>
            <w:noWrap/>
            <w:vAlign w:val="bottom"/>
            <w:hideMark/>
          </w:tcPr>
          <w:p w14:paraId="115ECDE0" w14:textId="77777777" w:rsidR="00767A4D" w:rsidRPr="00B47608" w:rsidRDefault="00767A4D" w:rsidP="00767A4D">
            <w:pPr>
              <w:spacing w:after="0" w:line="240" w:lineRule="auto"/>
              <w:jc w:val="center"/>
              <w:rPr>
                <w:rFonts w:eastAsia="Times New Roman" w:cs="Times New Roman"/>
                <w:kern w:val="0"/>
                <w:sz w:val="20"/>
                <w:szCs w:val="20"/>
                <w:lang w:eastAsia="it-IT"/>
                <w14:ligatures w14:val="none"/>
              </w:rPr>
            </w:pPr>
          </w:p>
        </w:tc>
        <w:tc>
          <w:tcPr>
            <w:tcW w:w="619" w:type="pct"/>
            <w:shd w:val="clear" w:color="auto" w:fill="auto"/>
            <w:noWrap/>
            <w:vAlign w:val="bottom"/>
            <w:hideMark/>
          </w:tcPr>
          <w:p w14:paraId="7D0CBDFF" w14:textId="77777777" w:rsidR="00767A4D" w:rsidRPr="00B47608" w:rsidRDefault="00767A4D" w:rsidP="00767A4D">
            <w:pPr>
              <w:spacing w:after="0" w:line="240" w:lineRule="auto"/>
              <w:jc w:val="center"/>
              <w:rPr>
                <w:rFonts w:eastAsia="Times New Roman" w:cs="Times New Roman"/>
                <w:kern w:val="0"/>
                <w:sz w:val="20"/>
                <w:szCs w:val="20"/>
                <w:lang w:eastAsia="it-IT"/>
                <w14:ligatures w14:val="none"/>
              </w:rPr>
            </w:pPr>
          </w:p>
        </w:tc>
        <w:tc>
          <w:tcPr>
            <w:tcW w:w="619" w:type="pct"/>
            <w:shd w:val="clear" w:color="auto" w:fill="auto"/>
            <w:noWrap/>
            <w:vAlign w:val="bottom"/>
            <w:hideMark/>
          </w:tcPr>
          <w:p w14:paraId="6CE1E59B" w14:textId="77777777" w:rsidR="00767A4D" w:rsidRPr="00B47608" w:rsidRDefault="00767A4D" w:rsidP="000E5614">
            <w:pPr>
              <w:spacing w:after="0" w:line="240" w:lineRule="auto"/>
              <w:jc w:val="center"/>
              <w:rPr>
                <w:rFonts w:eastAsia="Times New Roman" w:cs="Times New Roman"/>
                <w:kern w:val="0"/>
                <w:sz w:val="20"/>
                <w:szCs w:val="20"/>
                <w:lang w:eastAsia="it-IT"/>
                <w14:ligatures w14:val="none"/>
              </w:rPr>
            </w:pPr>
          </w:p>
        </w:tc>
      </w:tr>
      <w:tr w:rsidR="00767A4D" w:rsidRPr="00B47608" w14:paraId="3748D02B" w14:textId="77777777" w:rsidTr="00C34A7F">
        <w:trPr>
          <w:trHeight w:val="312"/>
        </w:trPr>
        <w:tc>
          <w:tcPr>
            <w:tcW w:w="1907" w:type="pct"/>
            <w:shd w:val="clear" w:color="auto" w:fill="auto"/>
            <w:noWrap/>
            <w:vAlign w:val="bottom"/>
            <w:hideMark/>
          </w:tcPr>
          <w:p w14:paraId="7505E156" w14:textId="77777777" w:rsidR="00767A4D" w:rsidRPr="00B47608" w:rsidRDefault="00767A4D" w:rsidP="00767A4D">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Non esportatori</w:t>
            </w:r>
          </w:p>
        </w:tc>
        <w:tc>
          <w:tcPr>
            <w:tcW w:w="619" w:type="pct"/>
            <w:shd w:val="clear" w:color="000000" w:fill="F8696B"/>
            <w:noWrap/>
            <w:vAlign w:val="bottom"/>
            <w:hideMark/>
          </w:tcPr>
          <w:p w14:paraId="7DA29248" w14:textId="10B3E7F8" w:rsidR="00767A4D" w:rsidRPr="00B47608" w:rsidRDefault="00767A4D" w:rsidP="00767A4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13,2</w:t>
            </w:r>
          </w:p>
        </w:tc>
        <w:tc>
          <w:tcPr>
            <w:tcW w:w="619" w:type="pct"/>
            <w:shd w:val="clear" w:color="000000" w:fill="F8726C"/>
            <w:noWrap/>
            <w:vAlign w:val="bottom"/>
            <w:hideMark/>
          </w:tcPr>
          <w:p w14:paraId="60D2BFAD" w14:textId="60D6D741" w:rsidR="00767A4D" w:rsidRPr="00B47608" w:rsidRDefault="00767A4D" w:rsidP="00767A4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12,3</w:t>
            </w:r>
          </w:p>
        </w:tc>
        <w:tc>
          <w:tcPr>
            <w:tcW w:w="619" w:type="pct"/>
            <w:shd w:val="clear" w:color="000000" w:fill="8CCA7E"/>
            <w:noWrap/>
            <w:vAlign w:val="bottom"/>
            <w:hideMark/>
          </w:tcPr>
          <w:p w14:paraId="101042DE" w14:textId="2D0CC15D" w:rsidR="00767A4D" w:rsidRPr="00B47608" w:rsidRDefault="00767A4D" w:rsidP="00767A4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5,3</w:t>
            </w:r>
          </w:p>
        </w:tc>
        <w:tc>
          <w:tcPr>
            <w:tcW w:w="619" w:type="pct"/>
            <w:shd w:val="clear" w:color="000000" w:fill="63BE7B"/>
            <w:noWrap/>
            <w:vAlign w:val="bottom"/>
            <w:hideMark/>
          </w:tcPr>
          <w:p w14:paraId="5AE1EB28" w14:textId="5D62E413" w:rsidR="00767A4D" w:rsidRPr="00B47608" w:rsidRDefault="00767A4D" w:rsidP="00767A4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69,3</w:t>
            </w:r>
          </w:p>
        </w:tc>
        <w:tc>
          <w:tcPr>
            <w:tcW w:w="619" w:type="pct"/>
            <w:shd w:val="clear" w:color="auto" w:fill="auto"/>
            <w:noWrap/>
            <w:vAlign w:val="bottom"/>
            <w:hideMark/>
          </w:tcPr>
          <w:p w14:paraId="28073353" w14:textId="74B80ADF" w:rsidR="00767A4D" w:rsidRPr="00B47608" w:rsidRDefault="00767A4D" w:rsidP="000E5614">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w:t>
            </w:r>
          </w:p>
        </w:tc>
      </w:tr>
      <w:tr w:rsidR="00767A4D" w:rsidRPr="00B47608" w14:paraId="5BFCF4D3" w14:textId="77777777" w:rsidTr="00C34A7F">
        <w:trPr>
          <w:trHeight w:val="312"/>
        </w:trPr>
        <w:tc>
          <w:tcPr>
            <w:tcW w:w="1907" w:type="pct"/>
            <w:shd w:val="clear" w:color="auto" w:fill="auto"/>
            <w:noWrap/>
            <w:vAlign w:val="bottom"/>
            <w:hideMark/>
          </w:tcPr>
          <w:p w14:paraId="7F66D35D" w14:textId="77777777" w:rsidR="00767A4D" w:rsidRPr="00B47608" w:rsidRDefault="00767A4D" w:rsidP="00767A4D">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Bassa intensità di export</w:t>
            </w:r>
          </w:p>
        </w:tc>
        <w:tc>
          <w:tcPr>
            <w:tcW w:w="619" w:type="pct"/>
            <w:shd w:val="clear" w:color="000000" w:fill="FCBF7B"/>
            <w:noWrap/>
            <w:vAlign w:val="bottom"/>
            <w:hideMark/>
          </w:tcPr>
          <w:p w14:paraId="26C79D82" w14:textId="38C5B038" w:rsidR="00767A4D" w:rsidRPr="00B47608" w:rsidRDefault="00767A4D" w:rsidP="00767A4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35,0</w:t>
            </w:r>
          </w:p>
        </w:tc>
        <w:tc>
          <w:tcPr>
            <w:tcW w:w="619" w:type="pct"/>
            <w:shd w:val="clear" w:color="000000" w:fill="FA9E75"/>
            <w:noWrap/>
            <w:vAlign w:val="bottom"/>
            <w:hideMark/>
          </w:tcPr>
          <w:p w14:paraId="52F24E7B" w14:textId="130615D6" w:rsidR="00767A4D" w:rsidRPr="00B47608" w:rsidRDefault="00767A4D" w:rsidP="00767A4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13,7</w:t>
            </w:r>
          </w:p>
        </w:tc>
        <w:tc>
          <w:tcPr>
            <w:tcW w:w="619" w:type="pct"/>
            <w:shd w:val="clear" w:color="000000" w:fill="F8696B"/>
            <w:noWrap/>
            <w:vAlign w:val="bottom"/>
            <w:hideMark/>
          </w:tcPr>
          <w:p w14:paraId="34B99EC0" w14:textId="6B805CC6" w:rsidR="00767A4D" w:rsidRPr="00B47608" w:rsidRDefault="00767A4D" w:rsidP="00767A4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2,5</w:t>
            </w:r>
          </w:p>
        </w:tc>
        <w:tc>
          <w:tcPr>
            <w:tcW w:w="619" w:type="pct"/>
            <w:shd w:val="clear" w:color="000000" w:fill="BDD881"/>
            <w:noWrap/>
            <w:vAlign w:val="bottom"/>
            <w:hideMark/>
          </w:tcPr>
          <w:p w14:paraId="500BEBF7" w14:textId="36741450" w:rsidR="00767A4D" w:rsidRPr="00B47608" w:rsidRDefault="00767A4D" w:rsidP="00767A4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48,8</w:t>
            </w:r>
          </w:p>
        </w:tc>
        <w:tc>
          <w:tcPr>
            <w:tcW w:w="619" w:type="pct"/>
            <w:shd w:val="clear" w:color="auto" w:fill="auto"/>
            <w:noWrap/>
            <w:vAlign w:val="bottom"/>
            <w:hideMark/>
          </w:tcPr>
          <w:p w14:paraId="74682FC1" w14:textId="53860186" w:rsidR="00767A4D" w:rsidRPr="00B47608" w:rsidRDefault="00767A4D" w:rsidP="000E5614">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w:t>
            </w:r>
          </w:p>
        </w:tc>
      </w:tr>
      <w:tr w:rsidR="00767A4D" w:rsidRPr="00B47608" w14:paraId="087D4CF9" w14:textId="77777777" w:rsidTr="00C34A7F">
        <w:trPr>
          <w:trHeight w:val="312"/>
        </w:trPr>
        <w:tc>
          <w:tcPr>
            <w:tcW w:w="1907" w:type="pct"/>
            <w:shd w:val="clear" w:color="auto" w:fill="auto"/>
            <w:noWrap/>
            <w:vAlign w:val="bottom"/>
            <w:hideMark/>
          </w:tcPr>
          <w:p w14:paraId="12492A48" w14:textId="77777777" w:rsidR="00767A4D" w:rsidRPr="00B47608" w:rsidRDefault="00767A4D" w:rsidP="00767A4D">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Media intensità di export</w:t>
            </w:r>
          </w:p>
        </w:tc>
        <w:tc>
          <w:tcPr>
            <w:tcW w:w="619" w:type="pct"/>
            <w:shd w:val="clear" w:color="000000" w:fill="83C87D"/>
            <w:noWrap/>
            <w:vAlign w:val="bottom"/>
            <w:hideMark/>
          </w:tcPr>
          <w:p w14:paraId="1BE7C7A7" w14:textId="00238126" w:rsidR="00767A4D" w:rsidRPr="00B47608" w:rsidRDefault="00767A4D" w:rsidP="00767A4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59,4</w:t>
            </w:r>
          </w:p>
        </w:tc>
        <w:tc>
          <w:tcPr>
            <w:tcW w:w="619" w:type="pct"/>
            <w:shd w:val="clear" w:color="000000" w:fill="D1DE82"/>
            <w:noWrap/>
            <w:vAlign w:val="bottom"/>
            <w:hideMark/>
          </w:tcPr>
          <w:p w14:paraId="25E30DB0" w14:textId="6D1E49EC" w:rsidR="00767A4D" w:rsidRPr="00B47608" w:rsidRDefault="00767A4D" w:rsidP="00767A4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19,1</w:t>
            </w:r>
          </w:p>
        </w:tc>
        <w:tc>
          <w:tcPr>
            <w:tcW w:w="619" w:type="pct"/>
            <w:shd w:val="clear" w:color="000000" w:fill="FA9B74"/>
            <w:noWrap/>
            <w:vAlign w:val="bottom"/>
            <w:hideMark/>
          </w:tcPr>
          <w:p w14:paraId="1290DF60" w14:textId="3E06C8A4" w:rsidR="00767A4D" w:rsidRPr="00B47608" w:rsidRDefault="00767A4D" w:rsidP="00767A4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3,0</w:t>
            </w:r>
          </w:p>
        </w:tc>
        <w:tc>
          <w:tcPr>
            <w:tcW w:w="619" w:type="pct"/>
            <w:shd w:val="clear" w:color="000000" w:fill="FA9E75"/>
            <w:noWrap/>
            <w:vAlign w:val="bottom"/>
            <w:hideMark/>
          </w:tcPr>
          <w:p w14:paraId="5AD60F75" w14:textId="254BFEA4" w:rsidR="00767A4D" w:rsidRPr="00B47608" w:rsidRDefault="00767A4D" w:rsidP="00767A4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18,5</w:t>
            </w:r>
          </w:p>
        </w:tc>
        <w:tc>
          <w:tcPr>
            <w:tcW w:w="619" w:type="pct"/>
            <w:shd w:val="clear" w:color="auto" w:fill="auto"/>
            <w:noWrap/>
            <w:vAlign w:val="bottom"/>
            <w:hideMark/>
          </w:tcPr>
          <w:p w14:paraId="611BF470" w14:textId="56F55CE7" w:rsidR="00767A4D" w:rsidRPr="00B47608" w:rsidRDefault="00767A4D" w:rsidP="000E5614">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w:t>
            </w:r>
          </w:p>
        </w:tc>
      </w:tr>
      <w:tr w:rsidR="00767A4D" w:rsidRPr="00B47608" w14:paraId="3D0800A1" w14:textId="77777777" w:rsidTr="00C34A7F">
        <w:trPr>
          <w:trHeight w:val="312"/>
        </w:trPr>
        <w:tc>
          <w:tcPr>
            <w:tcW w:w="1907" w:type="pct"/>
            <w:shd w:val="clear" w:color="auto" w:fill="auto"/>
            <w:noWrap/>
            <w:vAlign w:val="bottom"/>
            <w:hideMark/>
          </w:tcPr>
          <w:p w14:paraId="49FEAF98" w14:textId="77777777" w:rsidR="00767A4D" w:rsidRPr="00B47608" w:rsidRDefault="00767A4D" w:rsidP="00767A4D">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Alta intensità di export</w:t>
            </w:r>
          </w:p>
        </w:tc>
        <w:tc>
          <w:tcPr>
            <w:tcW w:w="619" w:type="pct"/>
            <w:shd w:val="clear" w:color="000000" w:fill="AED480"/>
            <w:noWrap/>
            <w:vAlign w:val="bottom"/>
            <w:hideMark/>
          </w:tcPr>
          <w:p w14:paraId="4AA32A77" w14:textId="68989E1F" w:rsidR="00767A4D" w:rsidRPr="00B47608" w:rsidRDefault="00767A4D" w:rsidP="00767A4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54,8</w:t>
            </w:r>
          </w:p>
        </w:tc>
        <w:tc>
          <w:tcPr>
            <w:tcW w:w="619" w:type="pct"/>
            <w:shd w:val="clear" w:color="000000" w:fill="D9E082"/>
            <w:noWrap/>
            <w:vAlign w:val="bottom"/>
            <w:hideMark/>
          </w:tcPr>
          <w:p w14:paraId="70A105AC" w14:textId="41F70120" w:rsidR="00767A4D" w:rsidRPr="00B47608" w:rsidRDefault="00767A4D" w:rsidP="00767A4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18,6</w:t>
            </w:r>
          </w:p>
        </w:tc>
        <w:tc>
          <w:tcPr>
            <w:tcW w:w="619" w:type="pct"/>
            <w:shd w:val="clear" w:color="000000" w:fill="63BE7B"/>
            <w:noWrap/>
            <w:vAlign w:val="bottom"/>
            <w:hideMark/>
          </w:tcPr>
          <w:p w14:paraId="6C638DA5" w14:textId="3BF2F7C0" w:rsidR="00767A4D" w:rsidRPr="00B47608" w:rsidRDefault="00767A4D" w:rsidP="00767A4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5,8</w:t>
            </w:r>
          </w:p>
        </w:tc>
        <w:tc>
          <w:tcPr>
            <w:tcW w:w="619" w:type="pct"/>
            <w:shd w:val="clear" w:color="000000" w:fill="FBAB77"/>
            <w:noWrap/>
            <w:vAlign w:val="bottom"/>
            <w:hideMark/>
          </w:tcPr>
          <w:p w14:paraId="423DDE04" w14:textId="73175365" w:rsidR="00767A4D" w:rsidRPr="00B47608" w:rsidRDefault="00767A4D" w:rsidP="00767A4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20,9</w:t>
            </w:r>
          </w:p>
        </w:tc>
        <w:tc>
          <w:tcPr>
            <w:tcW w:w="619" w:type="pct"/>
            <w:shd w:val="clear" w:color="auto" w:fill="auto"/>
            <w:noWrap/>
            <w:vAlign w:val="bottom"/>
            <w:hideMark/>
          </w:tcPr>
          <w:p w14:paraId="5A7B08A8" w14:textId="1DF9E0FD" w:rsidR="00767A4D" w:rsidRPr="00B47608" w:rsidRDefault="00767A4D" w:rsidP="000E5614">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w:t>
            </w:r>
          </w:p>
        </w:tc>
      </w:tr>
      <w:tr w:rsidR="00767A4D" w:rsidRPr="00B47608" w14:paraId="7F953C14" w14:textId="77777777" w:rsidTr="00C34A7F">
        <w:trPr>
          <w:trHeight w:val="312"/>
        </w:trPr>
        <w:tc>
          <w:tcPr>
            <w:tcW w:w="1907" w:type="pct"/>
            <w:shd w:val="clear" w:color="auto" w:fill="auto"/>
            <w:noWrap/>
            <w:vAlign w:val="bottom"/>
            <w:hideMark/>
          </w:tcPr>
          <w:p w14:paraId="770CF408" w14:textId="77777777" w:rsidR="00767A4D" w:rsidRPr="00B47608" w:rsidRDefault="00767A4D" w:rsidP="00767A4D">
            <w:pPr>
              <w:spacing w:after="0" w:line="240" w:lineRule="auto"/>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Aspettative export '25</w:t>
            </w:r>
          </w:p>
        </w:tc>
        <w:tc>
          <w:tcPr>
            <w:tcW w:w="619" w:type="pct"/>
            <w:shd w:val="clear" w:color="auto" w:fill="auto"/>
            <w:noWrap/>
            <w:vAlign w:val="bottom"/>
            <w:hideMark/>
          </w:tcPr>
          <w:p w14:paraId="46FAC50D" w14:textId="77777777" w:rsidR="00767A4D" w:rsidRPr="00B47608" w:rsidRDefault="00767A4D" w:rsidP="00767A4D">
            <w:pPr>
              <w:spacing w:after="0" w:line="240" w:lineRule="auto"/>
              <w:rPr>
                <w:rFonts w:eastAsia="Times New Roman" w:cs="Calibri"/>
                <w:b/>
                <w:bCs/>
                <w:color w:val="000000"/>
                <w:kern w:val="0"/>
                <w:lang w:eastAsia="it-IT"/>
                <w14:ligatures w14:val="none"/>
              </w:rPr>
            </w:pPr>
          </w:p>
        </w:tc>
        <w:tc>
          <w:tcPr>
            <w:tcW w:w="619" w:type="pct"/>
            <w:shd w:val="clear" w:color="auto" w:fill="auto"/>
            <w:noWrap/>
            <w:vAlign w:val="bottom"/>
            <w:hideMark/>
          </w:tcPr>
          <w:p w14:paraId="1D665E2A" w14:textId="77777777" w:rsidR="00767A4D" w:rsidRPr="00B47608" w:rsidRDefault="00767A4D" w:rsidP="00767A4D">
            <w:pPr>
              <w:spacing w:after="0" w:line="240" w:lineRule="auto"/>
              <w:rPr>
                <w:rFonts w:eastAsia="Times New Roman" w:cs="Times New Roman"/>
                <w:kern w:val="0"/>
                <w:sz w:val="20"/>
                <w:szCs w:val="20"/>
                <w:lang w:eastAsia="it-IT"/>
                <w14:ligatures w14:val="none"/>
              </w:rPr>
            </w:pPr>
          </w:p>
        </w:tc>
        <w:tc>
          <w:tcPr>
            <w:tcW w:w="619" w:type="pct"/>
            <w:shd w:val="clear" w:color="auto" w:fill="auto"/>
            <w:noWrap/>
            <w:vAlign w:val="bottom"/>
            <w:hideMark/>
          </w:tcPr>
          <w:p w14:paraId="7B372DF2" w14:textId="77777777" w:rsidR="00767A4D" w:rsidRPr="00B47608" w:rsidRDefault="00767A4D" w:rsidP="00767A4D">
            <w:pPr>
              <w:spacing w:after="0" w:line="240" w:lineRule="auto"/>
              <w:rPr>
                <w:rFonts w:eastAsia="Times New Roman" w:cs="Times New Roman"/>
                <w:kern w:val="0"/>
                <w:sz w:val="20"/>
                <w:szCs w:val="20"/>
                <w:lang w:eastAsia="it-IT"/>
                <w14:ligatures w14:val="none"/>
              </w:rPr>
            </w:pPr>
          </w:p>
        </w:tc>
        <w:tc>
          <w:tcPr>
            <w:tcW w:w="619" w:type="pct"/>
            <w:shd w:val="clear" w:color="auto" w:fill="auto"/>
            <w:noWrap/>
            <w:vAlign w:val="bottom"/>
            <w:hideMark/>
          </w:tcPr>
          <w:p w14:paraId="0EEAA211" w14:textId="77777777" w:rsidR="00767A4D" w:rsidRPr="00B47608" w:rsidRDefault="00767A4D" w:rsidP="00767A4D">
            <w:pPr>
              <w:spacing w:after="0" w:line="240" w:lineRule="auto"/>
              <w:rPr>
                <w:rFonts w:eastAsia="Times New Roman" w:cs="Times New Roman"/>
                <w:kern w:val="0"/>
                <w:sz w:val="20"/>
                <w:szCs w:val="20"/>
                <w:lang w:eastAsia="it-IT"/>
                <w14:ligatures w14:val="none"/>
              </w:rPr>
            </w:pPr>
          </w:p>
        </w:tc>
        <w:tc>
          <w:tcPr>
            <w:tcW w:w="619" w:type="pct"/>
            <w:shd w:val="clear" w:color="auto" w:fill="auto"/>
            <w:noWrap/>
            <w:vAlign w:val="bottom"/>
            <w:hideMark/>
          </w:tcPr>
          <w:p w14:paraId="5A58111C" w14:textId="77777777" w:rsidR="00767A4D" w:rsidRPr="00B47608" w:rsidRDefault="00767A4D" w:rsidP="000E5614">
            <w:pPr>
              <w:spacing w:after="0" w:line="240" w:lineRule="auto"/>
              <w:jc w:val="center"/>
              <w:rPr>
                <w:rFonts w:eastAsia="Times New Roman" w:cs="Times New Roman"/>
                <w:kern w:val="0"/>
                <w:sz w:val="20"/>
                <w:szCs w:val="20"/>
                <w:lang w:eastAsia="it-IT"/>
                <w14:ligatures w14:val="none"/>
              </w:rPr>
            </w:pPr>
          </w:p>
        </w:tc>
      </w:tr>
      <w:tr w:rsidR="00767A4D" w:rsidRPr="00B47608" w14:paraId="2EC75CD0" w14:textId="77777777" w:rsidTr="00C34A7F">
        <w:trPr>
          <w:trHeight w:val="312"/>
        </w:trPr>
        <w:tc>
          <w:tcPr>
            <w:tcW w:w="1907" w:type="pct"/>
            <w:shd w:val="clear" w:color="auto" w:fill="auto"/>
            <w:noWrap/>
            <w:vAlign w:val="bottom"/>
            <w:hideMark/>
          </w:tcPr>
          <w:p w14:paraId="1B2ED476" w14:textId="77777777" w:rsidR="00767A4D" w:rsidRPr="00B47608" w:rsidRDefault="00767A4D" w:rsidP="00767A4D">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Positive</w:t>
            </w:r>
          </w:p>
        </w:tc>
        <w:tc>
          <w:tcPr>
            <w:tcW w:w="619" w:type="pct"/>
            <w:shd w:val="clear" w:color="000000" w:fill="63BE7B"/>
            <w:noWrap/>
            <w:vAlign w:val="bottom"/>
            <w:hideMark/>
          </w:tcPr>
          <w:p w14:paraId="6E997CD2" w14:textId="204D7315" w:rsidR="00767A4D" w:rsidRPr="00B47608" w:rsidRDefault="00767A4D" w:rsidP="00767A4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62,8</w:t>
            </w:r>
          </w:p>
        </w:tc>
        <w:tc>
          <w:tcPr>
            <w:tcW w:w="619" w:type="pct"/>
            <w:shd w:val="clear" w:color="000000" w:fill="63BE7B"/>
            <w:noWrap/>
            <w:vAlign w:val="bottom"/>
            <w:hideMark/>
          </w:tcPr>
          <w:p w14:paraId="115668D9" w14:textId="5644A4D3" w:rsidR="00767A4D" w:rsidRPr="00B47608" w:rsidRDefault="00767A4D" w:rsidP="00767A4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25,7</w:t>
            </w:r>
          </w:p>
        </w:tc>
        <w:tc>
          <w:tcPr>
            <w:tcW w:w="619" w:type="pct"/>
            <w:shd w:val="clear" w:color="000000" w:fill="FDCD7E"/>
            <w:noWrap/>
            <w:vAlign w:val="bottom"/>
            <w:hideMark/>
          </w:tcPr>
          <w:p w14:paraId="3B00F751" w14:textId="22741556" w:rsidR="00767A4D" w:rsidRPr="00B47608" w:rsidRDefault="00767A4D" w:rsidP="00767A4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3,5</w:t>
            </w:r>
          </w:p>
        </w:tc>
        <w:tc>
          <w:tcPr>
            <w:tcW w:w="619" w:type="pct"/>
            <w:shd w:val="clear" w:color="000000" w:fill="F8696B"/>
            <w:noWrap/>
            <w:vAlign w:val="bottom"/>
            <w:hideMark/>
          </w:tcPr>
          <w:p w14:paraId="2F1CB7E4" w14:textId="5A63402F" w:rsidR="00767A4D" w:rsidRPr="00B47608" w:rsidRDefault="00767A4D" w:rsidP="00767A4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8,0</w:t>
            </w:r>
          </w:p>
        </w:tc>
        <w:tc>
          <w:tcPr>
            <w:tcW w:w="619" w:type="pct"/>
            <w:shd w:val="clear" w:color="auto" w:fill="auto"/>
            <w:noWrap/>
            <w:vAlign w:val="bottom"/>
            <w:hideMark/>
          </w:tcPr>
          <w:p w14:paraId="7BC77B05" w14:textId="1638FFF0" w:rsidR="00767A4D" w:rsidRPr="00B47608" w:rsidRDefault="00767A4D" w:rsidP="000E5614">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w:t>
            </w:r>
          </w:p>
        </w:tc>
      </w:tr>
      <w:tr w:rsidR="00767A4D" w:rsidRPr="00B47608" w14:paraId="4B2DAF80" w14:textId="77777777" w:rsidTr="00C34A7F">
        <w:trPr>
          <w:trHeight w:val="312"/>
        </w:trPr>
        <w:tc>
          <w:tcPr>
            <w:tcW w:w="1907" w:type="pct"/>
            <w:shd w:val="clear" w:color="auto" w:fill="auto"/>
            <w:noWrap/>
            <w:vAlign w:val="bottom"/>
            <w:hideMark/>
          </w:tcPr>
          <w:p w14:paraId="314063EA" w14:textId="77777777" w:rsidR="00767A4D" w:rsidRPr="00B47608" w:rsidRDefault="00767A4D" w:rsidP="00767A4D">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Negative</w:t>
            </w:r>
          </w:p>
        </w:tc>
        <w:tc>
          <w:tcPr>
            <w:tcW w:w="619" w:type="pct"/>
            <w:shd w:val="clear" w:color="000000" w:fill="FBA776"/>
            <w:noWrap/>
            <w:vAlign w:val="bottom"/>
            <w:hideMark/>
          </w:tcPr>
          <w:p w14:paraId="0E45E55F" w14:textId="653AE1FC" w:rsidR="00767A4D" w:rsidRPr="00B47608" w:rsidRDefault="00767A4D" w:rsidP="00767A4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28,8</w:t>
            </w:r>
          </w:p>
        </w:tc>
        <w:tc>
          <w:tcPr>
            <w:tcW w:w="619" w:type="pct"/>
            <w:shd w:val="clear" w:color="000000" w:fill="FBAE78"/>
            <w:noWrap/>
            <w:vAlign w:val="bottom"/>
            <w:hideMark/>
          </w:tcPr>
          <w:p w14:paraId="2A7D2D6D" w14:textId="1EFC791C" w:rsidR="00767A4D" w:rsidRPr="00B47608" w:rsidRDefault="00767A4D" w:rsidP="00767A4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14,3</w:t>
            </w:r>
          </w:p>
        </w:tc>
        <w:tc>
          <w:tcPr>
            <w:tcW w:w="619" w:type="pct"/>
            <w:shd w:val="clear" w:color="000000" w:fill="FEE582"/>
            <w:noWrap/>
            <w:vAlign w:val="bottom"/>
            <w:hideMark/>
          </w:tcPr>
          <w:p w14:paraId="1F44861E" w14:textId="56BEE49D" w:rsidR="00767A4D" w:rsidRPr="00B47608" w:rsidRDefault="00767A4D" w:rsidP="00767A4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3,8</w:t>
            </w:r>
          </w:p>
        </w:tc>
        <w:tc>
          <w:tcPr>
            <w:tcW w:w="619" w:type="pct"/>
            <w:shd w:val="clear" w:color="000000" w:fill="AAD380"/>
            <w:noWrap/>
            <w:vAlign w:val="bottom"/>
            <w:hideMark/>
          </w:tcPr>
          <w:p w14:paraId="22D9E65F" w14:textId="745532C6" w:rsidR="00767A4D" w:rsidRPr="00B47608" w:rsidRDefault="00767A4D" w:rsidP="00767A4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53,1</w:t>
            </w:r>
          </w:p>
        </w:tc>
        <w:tc>
          <w:tcPr>
            <w:tcW w:w="619" w:type="pct"/>
            <w:shd w:val="clear" w:color="auto" w:fill="auto"/>
            <w:noWrap/>
            <w:vAlign w:val="bottom"/>
            <w:hideMark/>
          </w:tcPr>
          <w:p w14:paraId="1C678A34" w14:textId="23BF4C3E" w:rsidR="00767A4D" w:rsidRPr="00B47608" w:rsidRDefault="00767A4D" w:rsidP="000E5614">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w:t>
            </w:r>
          </w:p>
        </w:tc>
      </w:tr>
      <w:tr w:rsidR="00767A4D" w:rsidRPr="00B47608" w14:paraId="1089C9A9" w14:textId="77777777" w:rsidTr="00C34A7F">
        <w:trPr>
          <w:trHeight w:val="312"/>
        </w:trPr>
        <w:tc>
          <w:tcPr>
            <w:tcW w:w="1907" w:type="pct"/>
            <w:shd w:val="clear" w:color="auto" w:fill="auto"/>
            <w:noWrap/>
            <w:vAlign w:val="bottom"/>
            <w:hideMark/>
          </w:tcPr>
          <w:p w14:paraId="32B2ADB3" w14:textId="77777777" w:rsidR="00767A4D" w:rsidRPr="00B47608" w:rsidRDefault="00767A4D" w:rsidP="00767A4D">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Stabili</w:t>
            </w:r>
          </w:p>
        </w:tc>
        <w:tc>
          <w:tcPr>
            <w:tcW w:w="619" w:type="pct"/>
            <w:shd w:val="clear" w:color="000000" w:fill="FDD780"/>
            <w:noWrap/>
            <w:vAlign w:val="bottom"/>
            <w:hideMark/>
          </w:tcPr>
          <w:p w14:paraId="0BBE6A99" w14:textId="5830DBF5" w:rsidR="00767A4D" w:rsidRPr="00B47608" w:rsidRDefault="00767A4D" w:rsidP="00767A4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40,9</w:t>
            </w:r>
          </w:p>
        </w:tc>
        <w:tc>
          <w:tcPr>
            <w:tcW w:w="619" w:type="pct"/>
            <w:shd w:val="clear" w:color="000000" w:fill="F8696B"/>
            <w:noWrap/>
            <w:vAlign w:val="bottom"/>
            <w:hideMark/>
          </w:tcPr>
          <w:p w14:paraId="230C1666" w14:textId="65733E09" w:rsidR="00767A4D" w:rsidRPr="00B47608" w:rsidRDefault="00767A4D" w:rsidP="00767A4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11,9</w:t>
            </w:r>
          </w:p>
        </w:tc>
        <w:tc>
          <w:tcPr>
            <w:tcW w:w="619" w:type="pct"/>
            <w:shd w:val="clear" w:color="000000" w:fill="FFEB84"/>
            <w:noWrap/>
            <w:vAlign w:val="bottom"/>
            <w:hideMark/>
          </w:tcPr>
          <w:p w14:paraId="21C3FDFB" w14:textId="111FDF07" w:rsidR="00767A4D" w:rsidRPr="00B47608" w:rsidRDefault="00767A4D" w:rsidP="00767A4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3,9</w:t>
            </w:r>
          </w:p>
        </w:tc>
        <w:tc>
          <w:tcPr>
            <w:tcW w:w="619" w:type="pct"/>
            <w:shd w:val="clear" w:color="000000" w:fill="D4DF82"/>
            <w:noWrap/>
            <w:vAlign w:val="bottom"/>
            <w:hideMark/>
          </w:tcPr>
          <w:p w14:paraId="76F33F20" w14:textId="0EBBB768" w:rsidR="00767A4D" w:rsidRPr="00B47608" w:rsidRDefault="00767A4D" w:rsidP="00767A4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43,3</w:t>
            </w:r>
          </w:p>
        </w:tc>
        <w:tc>
          <w:tcPr>
            <w:tcW w:w="619" w:type="pct"/>
            <w:shd w:val="clear" w:color="auto" w:fill="auto"/>
            <w:noWrap/>
            <w:vAlign w:val="bottom"/>
            <w:hideMark/>
          </w:tcPr>
          <w:p w14:paraId="6CC9B0A0" w14:textId="7CDCA6E2" w:rsidR="00767A4D" w:rsidRPr="00B47608" w:rsidRDefault="00767A4D" w:rsidP="000E5614">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w:t>
            </w:r>
          </w:p>
        </w:tc>
      </w:tr>
    </w:tbl>
    <w:p w14:paraId="55EA65B0" w14:textId="77777777" w:rsidR="00D37006" w:rsidRPr="00B47608" w:rsidRDefault="00D37006" w:rsidP="00ED2A57">
      <w:pPr>
        <w:spacing w:after="0"/>
      </w:pPr>
      <w:r w:rsidRPr="00B47608">
        <w:t>Fonte: Fondazione Nord Est (463 casi)</w:t>
      </w:r>
    </w:p>
    <w:p w14:paraId="1E755EE7" w14:textId="77777777" w:rsidR="00BD3602" w:rsidRPr="00B47608" w:rsidRDefault="00BD3602" w:rsidP="00ED2A57">
      <w:pPr>
        <w:spacing w:after="0"/>
      </w:pPr>
    </w:p>
    <w:p w14:paraId="4E7C31DD" w14:textId="579A57D9" w:rsidR="001C78AE" w:rsidRPr="00B47608" w:rsidRDefault="00884DE4" w:rsidP="00ED2A57">
      <w:pPr>
        <w:spacing w:after="0"/>
        <w:jc w:val="both"/>
      </w:pPr>
      <w:r w:rsidRPr="00B47608">
        <w:t xml:space="preserve">Tra le imprese che </w:t>
      </w:r>
      <w:r w:rsidR="00BA0D83" w:rsidRPr="00B47608">
        <w:t>dichiarano di voler esplorare nuovi mercati quelli considerati più interessanti sono</w:t>
      </w:r>
      <w:r w:rsidR="00FA15FE" w:rsidRPr="00B47608">
        <w:t xml:space="preserve"> gli Stati Uniti (</w:t>
      </w:r>
      <w:r w:rsidR="00B1772B" w:rsidRPr="00B47608">
        <w:t>indicati dal 21,7% delle imprese che intende adottate tale strategia</w:t>
      </w:r>
      <w:r w:rsidR="00FA15FE" w:rsidRPr="00B47608">
        <w:t>)</w:t>
      </w:r>
      <w:r w:rsidR="00B1772B" w:rsidRPr="00B47608">
        <w:t>, seguita dalla Cina (8,9%).</w:t>
      </w:r>
    </w:p>
    <w:p w14:paraId="1EF0D571" w14:textId="77777777" w:rsidR="00345F37" w:rsidRPr="00B47608" w:rsidRDefault="00345F37" w:rsidP="00ED2A57">
      <w:pPr>
        <w:spacing w:after="0"/>
      </w:pPr>
    </w:p>
    <w:p w14:paraId="72D63630" w14:textId="3FC57783" w:rsidR="00345F37" w:rsidRPr="00B47608" w:rsidRDefault="00AB3DBB" w:rsidP="00ED2A57">
      <w:pPr>
        <w:spacing w:after="0"/>
        <w:rPr>
          <w:b/>
          <w:bCs/>
        </w:rPr>
      </w:pPr>
      <w:r w:rsidRPr="00B47608">
        <w:rPr>
          <w:b/>
          <w:bCs/>
        </w:rPr>
        <w:t xml:space="preserve">Graf. </w:t>
      </w:r>
      <w:r w:rsidR="00291055" w:rsidRPr="00B47608">
        <w:rPr>
          <w:b/>
          <w:bCs/>
        </w:rPr>
        <w:t>2.2</w:t>
      </w:r>
      <w:r w:rsidRPr="00B47608">
        <w:rPr>
          <w:b/>
          <w:bCs/>
        </w:rPr>
        <w:t xml:space="preserve"> Nuovi mercati indicati dalle imprese che intendono svilupparne di nuovi nei prossimi due anni</w:t>
      </w:r>
      <w:r w:rsidR="00EE2CB7" w:rsidRPr="00B47608">
        <w:rPr>
          <w:b/>
          <w:bCs/>
        </w:rPr>
        <w:t xml:space="preserve"> (Val. %)</w:t>
      </w:r>
    </w:p>
    <w:p w14:paraId="5ED8DD3F" w14:textId="7E16F5E7" w:rsidR="00345F37" w:rsidRPr="00B47608" w:rsidRDefault="00B1772B" w:rsidP="00ED2A57">
      <w:pPr>
        <w:spacing w:after="0"/>
      </w:pPr>
      <w:r w:rsidRPr="00B47608">
        <w:rPr>
          <w:noProof/>
        </w:rPr>
        <w:drawing>
          <wp:inline distT="0" distB="0" distL="0" distR="0" wp14:anchorId="51E4972D" wp14:editId="15D03570">
            <wp:extent cx="5521960" cy="1566692"/>
            <wp:effectExtent l="0" t="0" r="2540" b="0"/>
            <wp:docPr id="1643386163" name="Grafico 1">
              <a:extLst xmlns:a="http://schemas.openxmlformats.org/drawingml/2006/main">
                <a:ext uri="{FF2B5EF4-FFF2-40B4-BE49-F238E27FC236}">
                  <a16:creationId xmlns:a16="http://schemas.microsoft.com/office/drawing/2014/main" id="{BC4B3C35-AD78-945E-9193-C6D978B7FE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9C18D21" w14:textId="0F70224A" w:rsidR="00BA0D83" w:rsidRPr="00B47608" w:rsidRDefault="00AB3DBB" w:rsidP="00ED2A57">
      <w:pPr>
        <w:spacing w:after="0"/>
      </w:pPr>
      <w:r w:rsidRPr="00B47608">
        <w:t xml:space="preserve">Fonte: Fondazione Nord Est </w:t>
      </w:r>
      <w:r w:rsidR="00D37006" w:rsidRPr="00B47608">
        <w:t>(</w:t>
      </w:r>
      <w:r w:rsidR="008012A8" w:rsidRPr="00B47608">
        <w:t>78</w:t>
      </w:r>
      <w:r w:rsidR="00D37006" w:rsidRPr="00B47608">
        <w:t xml:space="preserve"> casi)</w:t>
      </w:r>
    </w:p>
    <w:p w14:paraId="4DA3A918" w14:textId="77777777" w:rsidR="00BA0D83" w:rsidRPr="00B47608" w:rsidRDefault="00BA0D83" w:rsidP="00ED2A57">
      <w:pPr>
        <w:spacing w:after="0"/>
      </w:pPr>
    </w:p>
    <w:p w14:paraId="3CD3B643" w14:textId="77777777" w:rsidR="00253DE7" w:rsidRPr="00B47608" w:rsidRDefault="00253DE7" w:rsidP="00ED2A57">
      <w:pPr>
        <w:spacing w:after="0"/>
      </w:pPr>
    </w:p>
    <w:p w14:paraId="6D6334D6" w14:textId="025F5959" w:rsidR="00253DE7" w:rsidRPr="00B47608" w:rsidRDefault="009C3AA7" w:rsidP="009071AA">
      <w:pPr>
        <w:spacing w:after="0"/>
        <w:jc w:val="both"/>
      </w:pPr>
      <w:r w:rsidRPr="00B47608">
        <w:t xml:space="preserve">Le criticità </w:t>
      </w:r>
      <w:r w:rsidR="002F3EF9" w:rsidRPr="00B47608">
        <w:t xml:space="preserve">che hanno caratterizzato gli scenari internazionali negli ultimi anni </w:t>
      </w:r>
      <w:r w:rsidR="00FD36CA" w:rsidRPr="00B47608">
        <w:t>legate, ad esempio a</w:t>
      </w:r>
      <w:r w:rsidR="002F3EF9" w:rsidRPr="00B47608">
        <w:t>i con</w:t>
      </w:r>
      <w:r w:rsidRPr="00B47608">
        <w:t xml:space="preserve">flitti tra Stati come quello in Ucraina, </w:t>
      </w:r>
      <w:r w:rsidR="00FD36CA" w:rsidRPr="00B47608">
        <w:t>al</w:t>
      </w:r>
      <w:r w:rsidR="002F3EF9" w:rsidRPr="00B47608">
        <w:t xml:space="preserve">le </w:t>
      </w:r>
      <w:r w:rsidRPr="00B47608">
        <w:t>tensioni commerciali tra importanti blocchi economici</w:t>
      </w:r>
      <w:r w:rsidR="00FD36CA" w:rsidRPr="00B47608">
        <w:t xml:space="preserve"> e più in generale alle </w:t>
      </w:r>
      <w:r w:rsidRPr="00B47608">
        <w:t xml:space="preserve">situazioni di instabilità </w:t>
      </w:r>
      <w:r w:rsidR="00FD36CA" w:rsidRPr="00B47608">
        <w:t xml:space="preserve">che si registrano </w:t>
      </w:r>
      <w:r w:rsidRPr="00B47608">
        <w:t>in diverse aree del globo, stanno determinando una significativa contrazione degli scambi commerciali a livello globale. Tali dinamiche incidono negativamente sulle catene di approvvigionamento, incrementano i costi di trasporto e generano un clima di incertezza sui mercati, disincentivando gli investimenti e le transazioni commerciali transfrontaliere. L'intensificarsi di politiche protezionistiche e l'innalzamento di barriere commerciali, quali dazi e restrizioni alle esportazioni, acuiscono ulteriormente tale fenomeno, frammentando il mercato globale e ostacolando la libera circolazione delle merci.</w:t>
      </w:r>
      <w:r w:rsidR="00E77449" w:rsidRPr="00B47608">
        <w:t xml:space="preserve"> </w:t>
      </w:r>
      <w:bookmarkStart w:id="13" w:name="_Hlk190237424"/>
      <w:r w:rsidR="00E77449" w:rsidRPr="00B47608">
        <w:t xml:space="preserve">Le imprese che hanno partecipato alla rilevazione sentono come prima minaccia </w:t>
      </w:r>
      <w:r w:rsidR="000451B6" w:rsidRPr="00B47608">
        <w:t xml:space="preserve">rispetto alle loro strategie di internazionalizzazione le tensioni </w:t>
      </w:r>
      <w:r w:rsidR="00EC046E" w:rsidRPr="00B47608">
        <w:t>politiche a</w:t>
      </w:r>
      <w:r w:rsidR="000451B6" w:rsidRPr="00B47608">
        <w:t xml:space="preserve"> livello internazionale (64,8% delle indicazioni), </w:t>
      </w:r>
      <w:r w:rsidR="00DD1FC4" w:rsidRPr="00B47608">
        <w:t>i rischi legati ai trasporti sia in termini di costi che di incertezza (31,5%) mentre al terzo posto si collocano</w:t>
      </w:r>
      <w:r w:rsidR="00134F68" w:rsidRPr="00B47608">
        <w:t xml:space="preserve"> i timori rispetto al protezionismo (19,8%). </w:t>
      </w:r>
      <w:r w:rsidR="00086BC0" w:rsidRPr="00B47608">
        <w:t>È</w:t>
      </w:r>
      <w:r w:rsidR="00134F68" w:rsidRPr="00B47608">
        <w:t xml:space="preserve"> interessante notare come il protezionismo </w:t>
      </w:r>
      <w:r w:rsidR="00B9700E" w:rsidRPr="00B47608">
        <w:t xml:space="preserve">sia considerata la seconda minaccia </w:t>
      </w:r>
      <w:r w:rsidR="004C0267" w:rsidRPr="00B47608">
        <w:t>non oggi ma in futuro (43,2% degli intervistati)</w:t>
      </w:r>
      <w:r w:rsidR="00B41693" w:rsidRPr="00B47608">
        <w:t xml:space="preserve"> e come cresca anche la percentuale </w:t>
      </w:r>
      <w:r w:rsidR="00E73CCB" w:rsidRPr="00B47608">
        <w:t xml:space="preserve">di imprese che indica nei rischi reputazionali legati all’ambito ESG come minaccia attuale (4,3%) e in futuro (12,8%). </w:t>
      </w:r>
    </w:p>
    <w:bookmarkEnd w:id="13"/>
    <w:p w14:paraId="16A05F33" w14:textId="77777777" w:rsidR="00253DE7" w:rsidRPr="00B47608" w:rsidRDefault="00253DE7" w:rsidP="00ED2A57">
      <w:pPr>
        <w:spacing w:after="0"/>
      </w:pPr>
    </w:p>
    <w:p w14:paraId="7997B8F4" w14:textId="511BD00B" w:rsidR="00A103B2" w:rsidRPr="00B47608" w:rsidRDefault="00A158B7" w:rsidP="00ED2A57">
      <w:pPr>
        <w:spacing w:after="0"/>
        <w:jc w:val="both"/>
        <w:rPr>
          <w:b/>
          <w:bCs/>
        </w:rPr>
      </w:pPr>
      <w:r w:rsidRPr="00B47608">
        <w:rPr>
          <w:b/>
          <w:bCs/>
        </w:rPr>
        <w:t xml:space="preserve">Graf. 2.3 </w:t>
      </w:r>
      <w:r w:rsidR="00A103B2" w:rsidRPr="00B47608">
        <w:rPr>
          <w:b/>
          <w:bCs/>
        </w:rPr>
        <w:t xml:space="preserve">Quali elementi minacciano maggiormente le vostre strategie di internazionalizzazione oggi? E in futuro? </w:t>
      </w:r>
      <w:r w:rsidR="00EE2CB7" w:rsidRPr="00B47608">
        <w:rPr>
          <w:b/>
          <w:bCs/>
        </w:rPr>
        <w:t>(Val. %)</w:t>
      </w:r>
    </w:p>
    <w:p w14:paraId="6918FB2F" w14:textId="2213E695" w:rsidR="00074137" w:rsidRPr="00B47608" w:rsidRDefault="00074137" w:rsidP="00ED2A57">
      <w:pPr>
        <w:spacing w:after="0"/>
        <w:jc w:val="both"/>
        <w:rPr>
          <w:b/>
          <w:bCs/>
        </w:rPr>
      </w:pPr>
      <w:r w:rsidRPr="00B47608">
        <w:rPr>
          <w:noProof/>
        </w:rPr>
        <w:drawing>
          <wp:inline distT="0" distB="0" distL="0" distR="0" wp14:anchorId="7081A736" wp14:editId="77E870FF">
            <wp:extent cx="5396865" cy="2232561"/>
            <wp:effectExtent l="0" t="0" r="0" b="0"/>
            <wp:docPr id="726367474" name="Grafico 1">
              <a:extLst xmlns:a="http://schemas.openxmlformats.org/drawingml/2006/main">
                <a:ext uri="{FF2B5EF4-FFF2-40B4-BE49-F238E27FC236}">
                  <a16:creationId xmlns:a16="http://schemas.microsoft.com/office/drawing/2014/main" id="{5A4148AF-617B-B314-7DBD-F6E5C6F5BE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0F04A21" w14:textId="77777777" w:rsidR="00074137" w:rsidRPr="00B47608" w:rsidRDefault="00074137" w:rsidP="00ED2A57">
      <w:pPr>
        <w:spacing w:after="0"/>
      </w:pPr>
      <w:r w:rsidRPr="00B47608">
        <w:t>Fonte: Fondazione Nord Est (463 casi)</w:t>
      </w:r>
    </w:p>
    <w:p w14:paraId="1A9489AB" w14:textId="77777777" w:rsidR="008F24AF" w:rsidRPr="00B47608" w:rsidRDefault="008F24AF" w:rsidP="00ED2A57">
      <w:pPr>
        <w:spacing w:after="0"/>
      </w:pPr>
    </w:p>
    <w:p w14:paraId="612BCA90" w14:textId="69D35B9A" w:rsidR="00641095" w:rsidRPr="00B47608" w:rsidRDefault="00641095" w:rsidP="00ED2A57">
      <w:pPr>
        <w:spacing w:after="0"/>
        <w:jc w:val="both"/>
      </w:pPr>
      <w:proofErr w:type="spellStart"/>
      <w:r w:rsidRPr="00B47608">
        <w:t>Friendshoring</w:t>
      </w:r>
      <w:proofErr w:type="spellEnd"/>
      <w:r w:rsidRPr="00B47608">
        <w:t xml:space="preserve"> e </w:t>
      </w:r>
      <w:proofErr w:type="spellStart"/>
      <w:r w:rsidRPr="00B47608">
        <w:t>reshoring</w:t>
      </w:r>
      <w:proofErr w:type="spellEnd"/>
      <w:r w:rsidRPr="00B47608">
        <w:t xml:space="preserve"> </w:t>
      </w:r>
      <w:r w:rsidR="00740AE0" w:rsidRPr="00B47608">
        <w:t>rappresentano</w:t>
      </w:r>
      <w:r w:rsidRPr="00B47608">
        <w:t xml:space="preserve"> una</w:t>
      </w:r>
      <w:r w:rsidR="00740AE0" w:rsidRPr="00B47608">
        <w:t xml:space="preserve"> possibile</w:t>
      </w:r>
      <w:r w:rsidRPr="00B47608">
        <w:t xml:space="preserve"> risposta alle recenti crisi globali che hanno evidenziato la vulnerabilità delle catene di approvvigionamento.</w:t>
      </w:r>
      <w:r w:rsidR="00E5394A" w:rsidRPr="00B47608">
        <w:t xml:space="preserve"> Ricordiamo che i</w:t>
      </w:r>
      <w:r w:rsidRPr="00B47608">
        <w:t xml:space="preserve">l </w:t>
      </w:r>
      <w:proofErr w:type="spellStart"/>
      <w:r w:rsidRPr="00B47608">
        <w:t>friendshoring</w:t>
      </w:r>
      <w:proofErr w:type="spellEnd"/>
      <w:r w:rsidRPr="00B47608">
        <w:t xml:space="preserve"> consiste nella </w:t>
      </w:r>
      <w:r w:rsidR="00A37431">
        <w:t>rilocalizzazione</w:t>
      </w:r>
      <w:r w:rsidRPr="00B47608">
        <w:t xml:space="preserve"> delle attività produttive o di approvvigionamento verso paesi considerati politicamente ed economicamente allineati, al fine di mitigare i rischi derivanti da instabilità internazionali o tensioni commerciali con specifici partner. Il </w:t>
      </w:r>
      <w:proofErr w:type="spellStart"/>
      <w:r w:rsidRPr="00B47608">
        <w:t>reshoring</w:t>
      </w:r>
      <w:proofErr w:type="spellEnd"/>
      <w:r w:rsidRPr="00B47608">
        <w:t xml:space="preserve">, invece, implica il rientro delle attività precedentemente </w:t>
      </w:r>
      <w:r w:rsidR="00CA5638">
        <w:t>localizzate all’estero,</w:t>
      </w:r>
      <w:r w:rsidRPr="00B47608">
        <w:t xml:space="preserve"> nel paese d'origine dell'impresa</w:t>
      </w:r>
      <w:r w:rsidR="00E5394A" w:rsidRPr="00B47608">
        <w:t>. Una strategia che risponde a diversi obiettivi che possono andare dal r</w:t>
      </w:r>
      <w:r w:rsidRPr="00B47608">
        <w:t>afforza</w:t>
      </w:r>
      <w:r w:rsidR="00E5394A" w:rsidRPr="00B47608">
        <w:t>mento</w:t>
      </w:r>
      <w:r w:rsidRPr="00B47608">
        <w:t xml:space="preserve"> </w:t>
      </w:r>
      <w:r w:rsidR="00E5394A" w:rsidRPr="00B47608">
        <w:t>del</w:t>
      </w:r>
      <w:r w:rsidRPr="00B47608">
        <w:t xml:space="preserve"> controllo sulla produzione, </w:t>
      </w:r>
      <w:r w:rsidR="00E5394A" w:rsidRPr="00B47608">
        <w:t xml:space="preserve">alla </w:t>
      </w:r>
      <w:r w:rsidRPr="00B47608">
        <w:t xml:space="preserve">ridurre </w:t>
      </w:r>
      <w:r w:rsidR="00E5394A" w:rsidRPr="00B47608">
        <w:t>del</w:t>
      </w:r>
      <w:r w:rsidRPr="00B47608">
        <w:t xml:space="preserve">la dipendenza da fornitori esteri </w:t>
      </w:r>
      <w:r w:rsidR="002F0B63" w:rsidRPr="00B47608">
        <w:t>passando per</w:t>
      </w:r>
      <w:r w:rsidRPr="00B47608">
        <w:t xml:space="preserve"> una maggiore vicinanza al mercato interno</w:t>
      </w:r>
      <w:r w:rsidRPr="00B47608">
        <w:rPr>
          <w:highlight w:val="lightGray"/>
        </w:rPr>
        <w:t>.</w:t>
      </w:r>
      <w:r w:rsidRPr="00B47608">
        <w:t xml:space="preserve"> Entrambe le strategie mirano a incrementare la resilienza delle catene di approvvigionamento, sebbene il </w:t>
      </w:r>
      <w:proofErr w:type="spellStart"/>
      <w:r w:rsidRPr="00B47608">
        <w:t>friendshoring</w:t>
      </w:r>
      <w:proofErr w:type="spellEnd"/>
      <w:r w:rsidRPr="00B47608">
        <w:t xml:space="preserve"> privilegi la diversificazione geografica tra partner affidabili, mentre il </w:t>
      </w:r>
      <w:proofErr w:type="spellStart"/>
      <w:r w:rsidRPr="00B47608">
        <w:t>reshoring</w:t>
      </w:r>
      <w:proofErr w:type="spellEnd"/>
      <w:r w:rsidRPr="00B47608">
        <w:t xml:space="preserve"> si concentri sul ritorno alla produzione nazionale. </w:t>
      </w:r>
    </w:p>
    <w:p w14:paraId="6AB69F74" w14:textId="00143CFA" w:rsidR="00412249" w:rsidRDefault="00412249">
      <w:r>
        <w:br w:type="page"/>
      </w:r>
    </w:p>
    <w:p w14:paraId="2373F8FF" w14:textId="77777777" w:rsidR="00641095" w:rsidRPr="00B47608" w:rsidRDefault="00641095" w:rsidP="00ED2A57">
      <w:pPr>
        <w:spacing w:after="0"/>
        <w:jc w:val="both"/>
      </w:pPr>
    </w:p>
    <w:p w14:paraId="00DA548F" w14:textId="04993E4B" w:rsidR="00467C61" w:rsidRPr="00B47608" w:rsidRDefault="007A528F" w:rsidP="00ED2A57">
      <w:pPr>
        <w:spacing w:after="0"/>
        <w:jc w:val="both"/>
      </w:pPr>
      <w:bookmarkStart w:id="14" w:name="_Hlk190237642"/>
      <w:r w:rsidRPr="00B47608">
        <w:t xml:space="preserve">Alle imprese associate è stato chiesto quanto fossero d’accordo con una serie di affermazioni relative al </w:t>
      </w:r>
      <w:proofErr w:type="spellStart"/>
      <w:r w:rsidR="00C3777A" w:rsidRPr="00B47608">
        <w:t>friendshori</w:t>
      </w:r>
      <w:r w:rsidR="002F4629" w:rsidRPr="00B47608">
        <w:t>ng</w:t>
      </w:r>
      <w:proofErr w:type="spellEnd"/>
      <w:r w:rsidRPr="00B47608">
        <w:t xml:space="preserve">. </w:t>
      </w:r>
      <w:r w:rsidR="00467C61" w:rsidRPr="00B47608">
        <w:t xml:space="preserve">Le risposte rivelano un diffuso disaccordo sull'ipotesi che il </w:t>
      </w:r>
      <w:proofErr w:type="spellStart"/>
      <w:r w:rsidR="00467C61" w:rsidRPr="00B47608">
        <w:t>friendshoring</w:t>
      </w:r>
      <w:proofErr w:type="spellEnd"/>
      <w:r w:rsidR="00467C61" w:rsidRPr="00B47608">
        <w:t xml:space="preserve"> sia un fenomeno marginale, con la maggioranza degli intervistati che ne prevede un impatto significativo, sebbene non ancora pienamente percepibile nelle attuali reti di fornitura. Sussiste inoltre un consenso sul fatto che il </w:t>
      </w:r>
      <w:proofErr w:type="spellStart"/>
      <w:r w:rsidR="00467C61" w:rsidRPr="00B47608">
        <w:t>friendshoring</w:t>
      </w:r>
      <w:proofErr w:type="spellEnd"/>
      <w:r w:rsidR="00467C61" w:rsidRPr="00B47608">
        <w:t xml:space="preserve"> riguarderà principalmente le forniture strategiche e potrebbe offrire opportunità alle imprese italiane negli Stati Uniti</w:t>
      </w:r>
      <w:bookmarkEnd w:id="14"/>
      <w:r w:rsidR="00467C61" w:rsidRPr="00B47608">
        <w:t>.</w:t>
      </w:r>
    </w:p>
    <w:p w14:paraId="74039C54" w14:textId="77777777" w:rsidR="00C3777A" w:rsidRPr="00B47608" w:rsidRDefault="00C3777A" w:rsidP="00ED2A57">
      <w:pPr>
        <w:spacing w:after="0"/>
        <w:rPr>
          <w:b/>
          <w:bCs/>
        </w:rPr>
      </w:pPr>
    </w:p>
    <w:p w14:paraId="5EEA1A38" w14:textId="461814B0" w:rsidR="007A528F" w:rsidRPr="00B47608" w:rsidRDefault="00C3777A" w:rsidP="00277B09">
      <w:pPr>
        <w:spacing w:after="120"/>
        <w:rPr>
          <w:b/>
          <w:bCs/>
        </w:rPr>
      </w:pPr>
      <w:r w:rsidRPr="00B47608">
        <w:rPr>
          <w:b/>
          <w:bCs/>
        </w:rPr>
        <w:t xml:space="preserve">Tab. 2.2 </w:t>
      </w:r>
      <w:r w:rsidR="001E5D14" w:rsidRPr="00B47608">
        <w:rPr>
          <w:b/>
          <w:bCs/>
        </w:rPr>
        <w:t>Quanto è d’accordo con le seguenti affermazioni?</w:t>
      </w:r>
      <w:r w:rsidR="006A7967" w:rsidRPr="00B47608">
        <w:rPr>
          <w:b/>
          <w:bCs/>
        </w:rPr>
        <w:t xml:space="preserve"> (</w:t>
      </w:r>
      <w:r w:rsidR="00B666CD" w:rsidRPr="00B47608">
        <w:rPr>
          <w:b/>
          <w:bCs/>
        </w:rPr>
        <w:t xml:space="preserve">Val. %, </w:t>
      </w:r>
      <w:r w:rsidR="006A7967" w:rsidRPr="00B47608">
        <w:rPr>
          <w:b/>
          <w:bCs/>
        </w:rPr>
        <w:t>1=per nulla, 5=molto)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39"/>
        <w:gridCol w:w="737"/>
        <w:gridCol w:w="738"/>
        <w:gridCol w:w="738"/>
        <w:gridCol w:w="738"/>
        <w:gridCol w:w="738"/>
      </w:tblGrid>
      <w:tr w:rsidR="0046628E" w:rsidRPr="00B47608" w14:paraId="6F3BF1EE" w14:textId="77777777" w:rsidTr="0046628E">
        <w:trPr>
          <w:trHeight w:val="288"/>
        </w:trPr>
        <w:tc>
          <w:tcPr>
            <w:tcW w:w="3085" w:type="pct"/>
            <w:shd w:val="clear" w:color="auto" w:fill="auto"/>
            <w:noWrap/>
            <w:vAlign w:val="bottom"/>
            <w:hideMark/>
          </w:tcPr>
          <w:p w14:paraId="4D2E0233" w14:textId="77777777" w:rsidR="00012711" w:rsidRPr="00B47608" w:rsidRDefault="00012711" w:rsidP="00012711">
            <w:pPr>
              <w:spacing w:after="0" w:line="240" w:lineRule="auto"/>
              <w:rPr>
                <w:rFonts w:eastAsia="Times New Roman" w:cs="Times New Roman"/>
                <w:kern w:val="0"/>
                <w:sz w:val="24"/>
                <w:szCs w:val="24"/>
                <w:lang w:eastAsia="it-IT"/>
                <w14:ligatures w14:val="none"/>
              </w:rPr>
            </w:pPr>
          </w:p>
        </w:tc>
        <w:tc>
          <w:tcPr>
            <w:tcW w:w="383" w:type="pct"/>
            <w:shd w:val="clear" w:color="auto" w:fill="auto"/>
            <w:vAlign w:val="center"/>
            <w:hideMark/>
          </w:tcPr>
          <w:p w14:paraId="79172E9F" w14:textId="77777777" w:rsidR="00012711" w:rsidRPr="00B47608" w:rsidRDefault="00012711" w:rsidP="0046628E">
            <w:pPr>
              <w:spacing w:after="0" w:line="240" w:lineRule="auto"/>
              <w:jc w:val="center"/>
              <w:rPr>
                <w:rFonts w:eastAsia="Times New Roman" w:cs="Arial"/>
                <w:b/>
                <w:bCs/>
                <w:color w:val="000000"/>
                <w:kern w:val="0"/>
                <w:sz w:val="18"/>
                <w:szCs w:val="18"/>
                <w:lang w:eastAsia="it-IT"/>
                <w14:ligatures w14:val="none"/>
              </w:rPr>
            </w:pPr>
            <w:r w:rsidRPr="00B47608">
              <w:rPr>
                <w:rFonts w:eastAsia="Times New Roman" w:cs="Arial"/>
                <w:b/>
                <w:bCs/>
                <w:color w:val="000000"/>
                <w:kern w:val="0"/>
                <w:sz w:val="18"/>
                <w:szCs w:val="18"/>
                <w:lang w:eastAsia="it-IT"/>
                <w14:ligatures w14:val="none"/>
              </w:rPr>
              <w:t>1 e 2</w:t>
            </w:r>
          </w:p>
        </w:tc>
        <w:tc>
          <w:tcPr>
            <w:tcW w:w="383" w:type="pct"/>
            <w:shd w:val="clear" w:color="auto" w:fill="auto"/>
            <w:vAlign w:val="center"/>
            <w:hideMark/>
          </w:tcPr>
          <w:p w14:paraId="096490A3" w14:textId="77777777" w:rsidR="00012711" w:rsidRPr="00B47608" w:rsidRDefault="00012711" w:rsidP="0046628E">
            <w:pPr>
              <w:spacing w:after="0" w:line="240" w:lineRule="auto"/>
              <w:jc w:val="center"/>
              <w:rPr>
                <w:rFonts w:eastAsia="Times New Roman" w:cs="Arial"/>
                <w:b/>
                <w:bCs/>
                <w:color w:val="000000"/>
                <w:kern w:val="0"/>
                <w:sz w:val="18"/>
                <w:szCs w:val="18"/>
                <w:lang w:eastAsia="it-IT"/>
                <w14:ligatures w14:val="none"/>
              </w:rPr>
            </w:pPr>
            <w:r w:rsidRPr="00B47608">
              <w:rPr>
                <w:rFonts w:eastAsia="Times New Roman" w:cs="Arial"/>
                <w:b/>
                <w:bCs/>
                <w:color w:val="000000"/>
                <w:kern w:val="0"/>
                <w:sz w:val="18"/>
                <w:szCs w:val="18"/>
                <w:lang w:eastAsia="it-IT"/>
                <w14:ligatures w14:val="none"/>
              </w:rPr>
              <w:t>3</w:t>
            </w:r>
          </w:p>
        </w:tc>
        <w:tc>
          <w:tcPr>
            <w:tcW w:w="383" w:type="pct"/>
            <w:shd w:val="clear" w:color="auto" w:fill="auto"/>
            <w:vAlign w:val="center"/>
            <w:hideMark/>
          </w:tcPr>
          <w:p w14:paraId="720D6EE4" w14:textId="77777777" w:rsidR="00012711" w:rsidRPr="00B47608" w:rsidRDefault="00012711" w:rsidP="0046628E">
            <w:pPr>
              <w:spacing w:after="0" w:line="240" w:lineRule="auto"/>
              <w:jc w:val="center"/>
              <w:rPr>
                <w:rFonts w:eastAsia="Times New Roman" w:cs="Arial"/>
                <w:b/>
                <w:bCs/>
                <w:color w:val="000000"/>
                <w:kern w:val="0"/>
                <w:sz w:val="18"/>
                <w:szCs w:val="18"/>
                <w:lang w:eastAsia="it-IT"/>
                <w14:ligatures w14:val="none"/>
              </w:rPr>
            </w:pPr>
            <w:r w:rsidRPr="00B47608">
              <w:rPr>
                <w:rFonts w:eastAsia="Times New Roman" w:cs="Arial"/>
                <w:b/>
                <w:bCs/>
                <w:color w:val="000000"/>
                <w:kern w:val="0"/>
                <w:sz w:val="18"/>
                <w:szCs w:val="18"/>
                <w:lang w:eastAsia="it-IT"/>
                <w14:ligatures w14:val="none"/>
              </w:rPr>
              <w:t>4 e 5</w:t>
            </w:r>
          </w:p>
        </w:tc>
        <w:tc>
          <w:tcPr>
            <w:tcW w:w="383" w:type="pct"/>
            <w:shd w:val="clear" w:color="auto" w:fill="auto"/>
            <w:vAlign w:val="center"/>
            <w:hideMark/>
          </w:tcPr>
          <w:p w14:paraId="08640B15" w14:textId="77777777" w:rsidR="00012711" w:rsidRPr="00B47608" w:rsidRDefault="00012711" w:rsidP="0046628E">
            <w:pPr>
              <w:spacing w:after="0" w:line="240" w:lineRule="auto"/>
              <w:jc w:val="center"/>
              <w:rPr>
                <w:rFonts w:eastAsia="Times New Roman" w:cs="Arial"/>
                <w:b/>
                <w:bCs/>
                <w:color w:val="000000"/>
                <w:kern w:val="0"/>
                <w:sz w:val="18"/>
                <w:szCs w:val="18"/>
                <w:lang w:eastAsia="it-IT"/>
                <w14:ligatures w14:val="none"/>
              </w:rPr>
            </w:pPr>
            <w:proofErr w:type="spellStart"/>
            <w:r w:rsidRPr="00B47608">
              <w:rPr>
                <w:rFonts w:eastAsia="Times New Roman" w:cs="Arial"/>
                <w:b/>
                <w:bCs/>
                <w:color w:val="000000"/>
                <w:kern w:val="0"/>
                <w:sz w:val="18"/>
                <w:szCs w:val="18"/>
                <w:lang w:eastAsia="it-IT"/>
                <w14:ligatures w14:val="none"/>
              </w:rPr>
              <w:t>n.r</w:t>
            </w:r>
            <w:proofErr w:type="spellEnd"/>
            <w:r w:rsidRPr="00B47608">
              <w:rPr>
                <w:rFonts w:eastAsia="Times New Roman" w:cs="Arial"/>
                <w:b/>
                <w:bCs/>
                <w:color w:val="000000"/>
                <w:kern w:val="0"/>
                <w:sz w:val="18"/>
                <w:szCs w:val="18"/>
                <w:lang w:eastAsia="it-IT"/>
                <w14:ligatures w14:val="none"/>
              </w:rPr>
              <w:t>.</w:t>
            </w:r>
          </w:p>
        </w:tc>
        <w:tc>
          <w:tcPr>
            <w:tcW w:w="383" w:type="pct"/>
            <w:shd w:val="clear" w:color="auto" w:fill="auto"/>
            <w:vAlign w:val="center"/>
            <w:hideMark/>
          </w:tcPr>
          <w:p w14:paraId="0109C7A0" w14:textId="43E592E7" w:rsidR="00012711" w:rsidRPr="00B47608" w:rsidRDefault="0046628E" w:rsidP="0046628E">
            <w:pPr>
              <w:spacing w:after="0" w:line="240" w:lineRule="auto"/>
              <w:jc w:val="center"/>
              <w:rPr>
                <w:rFonts w:eastAsia="Times New Roman" w:cs="Arial"/>
                <w:b/>
                <w:bCs/>
                <w:color w:val="000000"/>
                <w:kern w:val="0"/>
                <w:sz w:val="18"/>
                <w:szCs w:val="18"/>
                <w:lang w:eastAsia="it-IT"/>
                <w14:ligatures w14:val="none"/>
              </w:rPr>
            </w:pPr>
            <w:r w:rsidRPr="00B47608">
              <w:rPr>
                <w:rFonts w:eastAsia="Times New Roman" w:cs="Arial"/>
                <w:b/>
                <w:bCs/>
                <w:color w:val="000000"/>
                <w:kern w:val="0"/>
                <w:sz w:val="18"/>
                <w:szCs w:val="18"/>
                <w:lang w:eastAsia="it-IT"/>
                <w14:ligatures w14:val="none"/>
              </w:rPr>
              <w:t>T</w:t>
            </w:r>
            <w:r w:rsidR="00012711" w:rsidRPr="00B47608">
              <w:rPr>
                <w:rFonts w:eastAsia="Times New Roman" w:cs="Arial"/>
                <w:b/>
                <w:bCs/>
                <w:color w:val="000000"/>
                <w:kern w:val="0"/>
                <w:sz w:val="18"/>
                <w:szCs w:val="18"/>
                <w:lang w:eastAsia="it-IT"/>
                <w14:ligatures w14:val="none"/>
              </w:rPr>
              <w:t>ot</w:t>
            </w:r>
            <w:r w:rsidRPr="00B47608">
              <w:rPr>
                <w:rFonts w:eastAsia="Times New Roman" w:cs="Arial"/>
                <w:b/>
                <w:bCs/>
                <w:color w:val="000000"/>
                <w:kern w:val="0"/>
                <w:sz w:val="18"/>
                <w:szCs w:val="18"/>
                <w:lang w:eastAsia="it-IT"/>
                <w14:ligatures w14:val="none"/>
              </w:rPr>
              <w:t>.</w:t>
            </w:r>
          </w:p>
        </w:tc>
      </w:tr>
      <w:tr w:rsidR="0046628E" w:rsidRPr="00B47608" w14:paraId="300A7C62" w14:textId="77777777" w:rsidTr="004D7E00">
        <w:trPr>
          <w:trHeight w:val="397"/>
        </w:trPr>
        <w:tc>
          <w:tcPr>
            <w:tcW w:w="3085" w:type="pct"/>
            <w:shd w:val="clear" w:color="auto" w:fill="auto"/>
            <w:noWrap/>
            <w:vAlign w:val="center"/>
            <w:hideMark/>
          </w:tcPr>
          <w:p w14:paraId="69BD2920" w14:textId="77777777" w:rsidR="00012711" w:rsidRPr="00B47608" w:rsidRDefault="00012711" w:rsidP="00012711">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 xml:space="preserve">Il </w:t>
            </w:r>
            <w:proofErr w:type="spellStart"/>
            <w:r w:rsidRPr="00B47608">
              <w:rPr>
                <w:rFonts w:eastAsia="Times New Roman" w:cs="Calibri"/>
                <w:color w:val="000000"/>
                <w:kern w:val="0"/>
                <w:lang w:eastAsia="it-IT"/>
                <w14:ligatures w14:val="none"/>
              </w:rPr>
              <w:t>Friendshoring</w:t>
            </w:r>
            <w:proofErr w:type="spellEnd"/>
            <w:r w:rsidRPr="00B47608">
              <w:rPr>
                <w:rFonts w:eastAsia="Times New Roman" w:cs="Calibri"/>
                <w:color w:val="000000"/>
                <w:kern w:val="0"/>
                <w:lang w:eastAsia="it-IT"/>
                <w14:ligatures w14:val="none"/>
              </w:rPr>
              <w:t xml:space="preserve"> sta già modificando le reti di fornitura internazionale</w:t>
            </w:r>
          </w:p>
        </w:tc>
        <w:tc>
          <w:tcPr>
            <w:tcW w:w="383" w:type="pct"/>
            <w:shd w:val="clear" w:color="auto" w:fill="auto"/>
            <w:noWrap/>
            <w:vAlign w:val="center"/>
            <w:hideMark/>
          </w:tcPr>
          <w:p w14:paraId="18DFAB23" w14:textId="7178FCAD" w:rsidR="00012711" w:rsidRPr="00B47608" w:rsidRDefault="00012711" w:rsidP="0046628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30,0</w:t>
            </w:r>
          </w:p>
        </w:tc>
        <w:tc>
          <w:tcPr>
            <w:tcW w:w="383" w:type="pct"/>
            <w:shd w:val="clear" w:color="auto" w:fill="auto"/>
            <w:noWrap/>
            <w:vAlign w:val="center"/>
            <w:hideMark/>
          </w:tcPr>
          <w:p w14:paraId="57B51084" w14:textId="49826CFC" w:rsidR="00012711" w:rsidRPr="00B47608" w:rsidRDefault="00012711" w:rsidP="0046628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37,4</w:t>
            </w:r>
          </w:p>
        </w:tc>
        <w:tc>
          <w:tcPr>
            <w:tcW w:w="383" w:type="pct"/>
            <w:shd w:val="clear" w:color="auto" w:fill="auto"/>
            <w:noWrap/>
            <w:vAlign w:val="center"/>
            <w:hideMark/>
          </w:tcPr>
          <w:p w14:paraId="584777A3" w14:textId="2B9BEE5E" w:rsidR="00012711" w:rsidRPr="00B47608" w:rsidRDefault="00012711" w:rsidP="0046628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18,1</w:t>
            </w:r>
          </w:p>
        </w:tc>
        <w:tc>
          <w:tcPr>
            <w:tcW w:w="383" w:type="pct"/>
            <w:shd w:val="clear" w:color="auto" w:fill="auto"/>
            <w:noWrap/>
            <w:vAlign w:val="center"/>
            <w:hideMark/>
          </w:tcPr>
          <w:p w14:paraId="48C58055" w14:textId="1814586E" w:rsidR="00012711" w:rsidRPr="00B47608" w:rsidRDefault="00012711" w:rsidP="0046628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14,5</w:t>
            </w:r>
          </w:p>
        </w:tc>
        <w:tc>
          <w:tcPr>
            <w:tcW w:w="383" w:type="pct"/>
            <w:shd w:val="clear" w:color="auto" w:fill="auto"/>
            <w:noWrap/>
            <w:vAlign w:val="center"/>
            <w:hideMark/>
          </w:tcPr>
          <w:p w14:paraId="5BD907BB" w14:textId="40F942B3" w:rsidR="00012711" w:rsidRPr="00B47608" w:rsidRDefault="00012711" w:rsidP="0046628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w:t>
            </w:r>
          </w:p>
        </w:tc>
      </w:tr>
      <w:tr w:rsidR="0046628E" w:rsidRPr="00B47608" w14:paraId="6A3CCF96" w14:textId="77777777" w:rsidTr="004D7E00">
        <w:trPr>
          <w:trHeight w:val="397"/>
        </w:trPr>
        <w:tc>
          <w:tcPr>
            <w:tcW w:w="3085" w:type="pct"/>
            <w:shd w:val="clear" w:color="auto" w:fill="auto"/>
            <w:noWrap/>
            <w:vAlign w:val="center"/>
            <w:hideMark/>
          </w:tcPr>
          <w:p w14:paraId="1D528136" w14:textId="77777777" w:rsidR="00012711" w:rsidRPr="00B47608" w:rsidRDefault="00012711" w:rsidP="00012711">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È un fenomeno marginale che non impatterà sostanzialmente sugli scambi internazionali</w:t>
            </w:r>
          </w:p>
        </w:tc>
        <w:tc>
          <w:tcPr>
            <w:tcW w:w="383" w:type="pct"/>
            <w:shd w:val="clear" w:color="auto" w:fill="auto"/>
            <w:noWrap/>
            <w:vAlign w:val="center"/>
            <w:hideMark/>
          </w:tcPr>
          <w:p w14:paraId="0133C4A5" w14:textId="5E1E8B4F" w:rsidR="00012711" w:rsidRPr="00B47608" w:rsidRDefault="00012711" w:rsidP="0046628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38,2</w:t>
            </w:r>
          </w:p>
        </w:tc>
        <w:tc>
          <w:tcPr>
            <w:tcW w:w="383" w:type="pct"/>
            <w:shd w:val="clear" w:color="auto" w:fill="auto"/>
            <w:noWrap/>
            <w:vAlign w:val="center"/>
            <w:hideMark/>
          </w:tcPr>
          <w:p w14:paraId="3A0BA11E" w14:textId="54D32CD7" w:rsidR="00012711" w:rsidRPr="00B47608" w:rsidRDefault="00012711" w:rsidP="0046628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33,0</w:t>
            </w:r>
          </w:p>
        </w:tc>
        <w:tc>
          <w:tcPr>
            <w:tcW w:w="383" w:type="pct"/>
            <w:shd w:val="clear" w:color="auto" w:fill="auto"/>
            <w:noWrap/>
            <w:vAlign w:val="center"/>
            <w:hideMark/>
          </w:tcPr>
          <w:p w14:paraId="6B30D80F" w14:textId="446C1776" w:rsidR="00012711" w:rsidRPr="00B47608" w:rsidRDefault="00012711" w:rsidP="0046628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13,0</w:t>
            </w:r>
          </w:p>
        </w:tc>
        <w:tc>
          <w:tcPr>
            <w:tcW w:w="383" w:type="pct"/>
            <w:shd w:val="clear" w:color="auto" w:fill="auto"/>
            <w:noWrap/>
            <w:vAlign w:val="center"/>
            <w:hideMark/>
          </w:tcPr>
          <w:p w14:paraId="4BDDACC9" w14:textId="01CCDE2A" w:rsidR="00012711" w:rsidRPr="00B47608" w:rsidRDefault="00012711" w:rsidP="0046628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15,9</w:t>
            </w:r>
          </w:p>
        </w:tc>
        <w:tc>
          <w:tcPr>
            <w:tcW w:w="383" w:type="pct"/>
            <w:shd w:val="clear" w:color="auto" w:fill="auto"/>
            <w:noWrap/>
            <w:vAlign w:val="center"/>
            <w:hideMark/>
          </w:tcPr>
          <w:p w14:paraId="123A863F" w14:textId="252691F5" w:rsidR="00012711" w:rsidRPr="00B47608" w:rsidRDefault="00012711" w:rsidP="0046628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w:t>
            </w:r>
          </w:p>
        </w:tc>
      </w:tr>
      <w:tr w:rsidR="0046628E" w:rsidRPr="00B47608" w14:paraId="13607416" w14:textId="77777777" w:rsidTr="004D7E00">
        <w:trPr>
          <w:trHeight w:val="397"/>
        </w:trPr>
        <w:tc>
          <w:tcPr>
            <w:tcW w:w="3085" w:type="pct"/>
            <w:shd w:val="clear" w:color="auto" w:fill="auto"/>
            <w:noWrap/>
            <w:vAlign w:val="center"/>
            <w:hideMark/>
          </w:tcPr>
          <w:p w14:paraId="39F4B03E" w14:textId="77777777" w:rsidR="00012711" w:rsidRPr="00B47608" w:rsidRDefault="00012711" w:rsidP="00012711">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Impatterà più sugli investimenti diretti all’estero che sullo scambio di beni</w:t>
            </w:r>
          </w:p>
        </w:tc>
        <w:tc>
          <w:tcPr>
            <w:tcW w:w="383" w:type="pct"/>
            <w:shd w:val="clear" w:color="auto" w:fill="auto"/>
            <w:noWrap/>
            <w:vAlign w:val="center"/>
            <w:hideMark/>
          </w:tcPr>
          <w:p w14:paraId="7B1A12EF" w14:textId="10805B15" w:rsidR="00012711" w:rsidRPr="00B47608" w:rsidRDefault="00012711" w:rsidP="0046628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23,9</w:t>
            </w:r>
          </w:p>
        </w:tc>
        <w:tc>
          <w:tcPr>
            <w:tcW w:w="383" w:type="pct"/>
            <w:shd w:val="clear" w:color="auto" w:fill="auto"/>
            <w:noWrap/>
            <w:vAlign w:val="center"/>
            <w:hideMark/>
          </w:tcPr>
          <w:p w14:paraId="325567EA" w14:textId="2732FE23" w:rsidR="00012711" w:rsidRPr="00B47608" w:rsidRDefault="00012711" w:rsidP="0046628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38,2</w:t>
            </w:r>
          </w:p>
        </w:tc>
        <w:tc>
          <w:tcPr>
            <w:tcW w:w="383" w:type="pct"/>
            <w:shd w:val="clear" w:color="auto" w:fill="auto"/>
            <w:noWrap/>
            <w:vAlign w:val="center"/>
            <w:hideMark/>
          </w:tcPr>
          <w:p w14:paraId="1180570D" w14:textId="6A4C3F75" w:rsidR="00012711" w:rsidRPr="00B47608" w:rsidRDefault="00012711" w:rsidP="0046628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22,6</w:t>
            </w:r>
          </w:p>
        </w:tc>
        <w:tc>
          <w:tcPr>
            <w:tcW w:w="383" w:type="pct"/>
            <w:shd w:val="clear" w:color="auto" w:fill="auto"/>
            <w:noWrap/>
            <w:vAlign w:val="center"/>
            <w:hideMark/>
          </w:tcPr>
          <w:p w14:paraId="03983570" w14:textId="0A2B54EE" w:rsidR="00012711" w:rsidRPr="00B47608" w:rsidRDefault="00012711" w:rsidP="0046628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15,3</w:t>
            </w:r>
          </w:p>
        </w:tc>
        <w:tc>
          <w:tcPr>
            <w:tcW w:w="383" w:type="pct"/>
            <w:shd w:val="clear" w:color="auto" w:fill="auto"/>
            <w:noWrap/>
            <w:vAlign w:val="center"/>
            <w:hideMark/>
          </w:tcPr>
          <w:p w14:paraId="0146C782" w14:textId="295C6ABB" w:rsidR="00012711" w:rsidRPr="00B47608" w:rsidRDefault="00012711" w:rsidP="0046628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w:t>
            </w:r>
          </w:p>
        </w:tc>
      </w:tr>
      <w:tr w:rsidR="0046628E" w:rsidRPr="00B47608" w14:paraId="537295C3" w14:textId="77777777" w:rsidTr="004D7E00">
        <w:trPr>
          <w:trHeight w:val="397"/>
        </w:trPr>
        <w:tc>
          <w:tcPr>
            <w:tcW w:w="3085" w:type="pct"/>
            <w:shd w:val="clear" w:color="auto" w:fill="auto"/>
            <w:noWrap/>
            <w:vAlign w:val="center"/>
            <w:hideMark/>
          </w:tcPr>
          <w:p w14:paraId="765229C3" w14:textId="77777777" w:rsidR="00012711" w:rsidRPr="00B47608" w:rsidRDefault="00012711" w:rsidP="00012711">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Potrebbe aprire prospettive interessanti per le imprese italiane negli USA</w:t>
            </w:r>
          </w:p>
        </w:tc>
        <w:tc>
          <w:tcPr>
            <w:tcW w:w="383" w:type="pct"/>
            <w:shd w:val="clear" w:color="auto" w:fill="auto"/>
            <w:noWrap/>
            <w:vAlign w:val="center"/>
            <w:hideMark/>
          </w:tcPr>
          <w:p w14:paraId="491904E7" w14:textId="51DE003A" w:rsidR="00012711" w:rsidRPr="00B47608" w:rsidRDefault="00012711" w:rsidP="0046628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22,6</w:t>
            </w:r>
          </w:p>
        </w:tc>
        <w:tc>
          <w:tcPr>
            <w:tcW w:w="383" w:type="pct"/>
            <w:shd w:val="clear" w:color="auto" w:fill="auto"/>
            <w:noWrap/>
            <w:vAlign w:val="center"/>
            <w:hideMark/>
          </w:tcPr>
          <w:p w14:paraId="5FDDF918" w14:textId="4CBB807E" w:rsidR="00012711" w:rsidRPr="00B47608" w:rsidRDefault="00012711" w:rsidP="0046628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33,4</w:t>
            </w:r>
          </w:p>
        </w:tc>
        <w:tc>
          <w:tcPr>
            <w:tcW w:w="383" w:type="pct"/>
            <w:shd w:val="clear" w:color="auto" w:fill="auto"/>
            <w:noWrap/>
            <w:vAlign w:val="center"/>
            <w:hideMark/>
          </w:tcPr>
          <w:p w14:paraId="61A9EC20" w14:textId="503D504B" w:rsidR="00012711" w:rsidRPr="00B47608" w:rsidRDefault="00012711" w:rsidP="0046628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28,7</w:t>
            </w:r>
          </w:p>
        </w:tc>
        <w:tc>
          <w:tcPr>
            <w:tcW w:w="383" w:type="pct"/>
            <w:shd w:val="clear" w:color="auto" w:fill="auto"/>
            <w:noWrap/>
            <w:vAlign w:val="center"/>
            <w:hideMark/>
          </w:tcPr>
          <w:p w14:paraId="4ED482BB" w14:textId="5B3E2403" w:rsidR="00012711" w:rsidRPr="00B47608" w:rsidRDefault="00012711" w:rsidP="0046628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15,2</w:t>
            </w:r>
          </w:p>
        </w:tc>
        <w:tc>
          <w:tcPr>
            <w:tcW w:w="383" w:type="pct"/>
            <w:shd w:val="clear" w:color="auto" w:fill="auto"/>
            <w:noWrap/>
            <w:vAlign w:val="center"/>
            <w:hideMark/>
          </w:tcPr>
          <w:p w14:paraId="49A82A7B" w14:textId="519E953E" w:rsidR="00012711" w:rsidRPr="00B47608" w:rsidRDefault="00012711" w:rsidP="0046628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w:t>
            </w:r>
          </w:p>
        </w:tc>
      </w:tr>
      <w:tr w:rsidR="0046628E" w:rsidRPr="00B47608" w14:paraId="7AB4793D" w14:textId="77777777" w:rsidTr="004D7E00">
        <w:trPr>
          <w:trHeight w:val="397"/>
        </w:trPr>
        <w:tc>
          <w:tcPr>
            <w:tcW w:w="3085" w:type="pct"/>
            <w:shd w:val="clear" w:color="auto" w:fill="auto"/>
            <w:noWrap/>
            <w:vAlign w:val="center"/>
            <w:hideMark/>
          </w:tcPr>
          <w:p w14:paraId="6DE834F3" w14:textId="77777777" w:rsidR="00012711" w:rsidRPr="00B47608" w:rsidRDefault="00012711" w:rsidP="00012711">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È impossibile modificare le reti di fornitura nel breve periodo</w:t>
            </w:r>
          </w:p>
        </w:tc>
        <w:tc>
          <w:tcPr>
            <w:tcW w:w="383" w:type="pct"/>
            <w:shd w:val="clear" w:color="auto" w:fill="auto"/>
            <w:noWrap/>
            <w:vAlign w:val="center"/>
            <w:hideMark/>
          </w:tcPr>
          <w:p w14:paraId="004449B0" w14:textId="4A9F85A1" w:rsidR="00012711" w:rsidRPr="00B47608" w:rsidRDefault="00012711" w:rsidP="0046628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27,5</w:t>
            </w:r>
          </w:p>
        </w:tc>
        <w:tc>
          <w:tcPr>
            <w:tcW w:w="383" w:type="pct"/>
            <w:shd w:val="clear" w:color="auto" w:fill="auto"/>
            <w:noWrap/>
            <w:vAlign w:val="center"/>
            <w:hideMark/>
          </w:tcPr>
          <w:p w14:paraId="56CB9EB5" w14:textId="64D656B7" w:rsidR="00012711" w:rsidRPr="00B47608" w:rsidRDefault="00012711" w:rsidP="0046628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31,7</w:t>
            </w:r>
          </w:p>
        </w:tc>
        <w:tc>
          <w:tcPr>
            <w:tcW w:w="383" w:type="pct"/>
            <w:shd w:val="clear" w:color="auto" w:fill="auto"/>
            <w:noWrap/>
            <w:vAlign w:val="center"/>
            <w:hideMark/>
          </w:tcPr>
          <w:p w14:paraId="5C946151" w14:textId="0DC99389" w:rsidR="00012711" w:rsidRPr="00B47608" w:rsidRDefault="00012711" w:rsidP="0046628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25,0</w:t>
            </w:r>
          </w:p>
        </w:tc>
        <w:tc>
          <w:tcPr>
            <w:tcW w:w="383" w:type="pct"/>
            <w:shd w:val="clear" w:color="auto" w:fill="auto"/>
            <w:noWrap/>
            <w:vAlign w:val="center"/>
            <w:hideMark/>
          </w:tcPr>
          <w:p w14:paraId="4366474D" w14:textId="092D9536" w:rsidR="00012711" w:rsidRPr="00B47608" w:rsidRDefault="00012711" w:rsidP="0046628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15,8</w:t>
            </w:r>
          </w:p>
        </w:tc>
        <w:tc>
          <w:tcPr>
            <w:tcW w:w="383" w:type="pct"/>
            <w:shd w:val="clear" w:color="auto" w:fill="auto"/>
            <w:noWrap/>
            <w:vAlign w:val="center"/>
            <w:hideMark/>
          </w:tcPr>
          <w:p w14:paraId="45CA3DDF" w14:textId="10AE4AB3" w:rsidR="00012711" w:rsidRPr="00B47608" w:rsidRDefault="00012711" w:rsidP="0046628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w:t>
            </w:r>
          </w:p>
        </w:tc>
      </w:tr>
      <w:tr w:rsidR="0046628E" w:rsidRPr="00B47608" w14:paraId="185F7FC9" w14:textId="77777777" w:rsidTr="004D7E00">
        <w:trPr>
          <w:trHeight w:val="397"/>
        </w:trPr>
        <w:tc>
          <w:tcPr>
            <w:tcW w:w="3085" w:type="pct"/>
            <w:shd w:val="clear" w:color="auto" w:fill="auto"/>
            <w:noWrap/>
            <w:vAlign w:val="center"/>
            <w:hideMark/>
          </w:tcPr>
          <w:p w14:paraId="789C0235" w14:textId="77777777" w:rsidR="00012711" w:rsidRPr="00B47608" w:rsidRDefault="00012711" w:rsidP="00012711">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 xml:space="preserve">Il </w:t>
            </w:r>
            <w:proofErr w:type="spellStart"/>
            <w:r w:rsidRPr="00B47608">
              <w:rPr>
                <w:rFonts w:eastAsia="Times New Roman" w:cs="Calibri"/>
                <w:color w:val="000000"/>
                <w:kern w:val="0"/>
                <w:lang w:eastAsia="it-IT"/>
                <w14:ligatures w14:val="none"/>
              </w:rPr>
              <w:t>Friendshoring</w:t>
            </w:r>
            <w:proofErr w:type="spellEnd"/>
            <w:r w:rsidRPr="00B47608">
              <w:rPr>
                <w:rFonts w:eastAsia="Times New Roman" w:cs="Calibri"/>
                <w:color w:val="000000"/>
                <w:kern w:val="0"/>
                <w:lang w:eastAsia="it-IT"/>
                <w14:ligatures w14:val="none"/>
              </w:rPr>
              <w:t xml:space="preserve"> è un’azione che riguarda in prevalenza la fornitura di beni considerati strategici</w:t>
            </w:r>
          </w:p>
        </w:tc>
        <w:tc>
          <w:tcPr>
            <w:tcW w:w="383" w:type="pct"/>
            <w:shd w:val="clear" w:color="auto" w:fill="auto"/>
            <w:noWrap/>
            <w:vAlign w:val="center"/>
            <w:hideMark/>
          </w:tcPr>
          <w:p w14:paraId="140D9E92" w14:textId="0F967A5E" w:rsidR="00012711" w:rsidRPr="00B47608" w:rsidRDefault="00012711" w:rsidP="0046628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19,1</w:t>
            </w:r>
          </w:p>
        </w:tc>
        <w:tc>
          <w:tcPr>
            <w:tcW w:w="383" w:type="pct"/>
            <w:shd w:val="clear" w:color="auto" w:fill="auto"/>
            <w:noWrap/>
            <w:vAlign w:val="center"/>
            <w:hideMark/>
          </w:tcPr>
          <w:p w14:paraId="69890F7E" w14:textId="1AE11B8D" w:rsidR="00012711" w:rsidRPr="00B47608" w:rsidRDefault="00012711" w:rsidP="0046628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35,5</w:t>
            </w:r>
          </w:p>
        </w:tc>
        <w:tc>
          <w:tcPr>
            <w:tcW w:w="383" w:type="pct"/>
            <w:shd w:val="clear" w:color="auto" w:fill="auto"/>
            <w:noWrap/>
            <w:vAlign w:val="center"/>
            <w:hideMark/>
          </w:tcPr>
          <w:p w14:paraId="4A24476A" w14:textId="48EABAED" w:rsidR="00012711" w:rsidRPr="00B47608" w:rsidRDefault="00012711" w:rsidP="0046628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30,1</w:t>
            </w:r>
          </w:p>
        </w:tc>
        <w:tc>
          <w:tcPr>
            <w:tcW w:w="383" w:type="pct"/>
            <w:shd w:val="clear" w:color="auto" w:fill="auto"/>
            <w:noWrap/>
            <w:vAlign w:val="center"/>
            <w:hideMark/>
          </w:tcPr>
          <w:p w14:paraId="6CD483E6" w14:textId="44CA5EF8" w:rsidR="00012711" w:rsidRPr="00B47608" w:rsidRDefault="00012711" w:rsidP="0046628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15,4</w:t>
            </w:r>
          </w:p>
        </w:tc>
        <w:tc>
          <w:tcPr>
            <w:tcW w:w="383" w:type="pct"/>
            <w:shd w:val="clear" w:color="auto" w:fill="auto"/>
            <w:noWrap/>
            <w:vAlign w:val="center"/>
            <w:hideMark/>
          </w:tcPr>
          <w:p w14:paraId="2FD4F8F4" w14:textId="54F90A95" w:rsidR="00012711" w:rsidRPr="00B47608" w:rsidRDefault="00012711" w:rsidP="0046628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w:t>
            </w:r>
          </w:p>
        </w:tc>
      </w:tr>
    </w:tbl>
    <w:p w14:paraId="5C90F7B4" w14:textId="77777777" w:rsidR="006A7967" w:rsidRPr="00B47608" w:rsidRDefault="006A7967" w:rsidP="00ED2A57">
      <w:pPr>
        <w:spacing w:after="0"/>
      </w:pPr>
      <w:r w:rsidRPr="00B47608">
        <w:t>Fonte: Fondazione Nord Est (463 casi)</w:t>
      </w:r>
    </w:p>
    <w:p w14:paraId="5DD9C063" w14:textId="77777777" w:rsidR="007A528F" w:rsidRPr="00B47608" w:rsidRDefault="007A528F" w:rsidP="00ED2A57">
      <w:pPr>
        <w:spacing w:after="0"/>
      </w:pPr>
    </w:p>
    <w:p w14:paraId="642728EA" w14:textId="77777777" w:rsidR="00522F68" w:rsidRPr="00B47608" w:rsidRDefault="00522F68" w:rsidP="00ED2A57">
      <w:pPr>
        <w:spacing w:after="0"/>
      </w:pPr>
    </w:p>
    <w:p w14:paraId="64359714" w14:textId="1D5114A7" w:rsidR="00313B5A" w:rsidRPr="00B47608" w:rsidRDefault="00A158B7" w:rsidP="00ED2A57">
      <w:pPr>
        <w:spacing w:after="0"/>
        <w:rPr>
          <w:b/>
          <w:bCs/>
        </w:rPr>
      </w:pPr>
      <w:r w:rsidRPr="00B47608">
        <w:rPr>
          <w:b/>
          <w:bCs/>
        </w:rPr>
        <w:t xml:space="preserve">Graf. 2.4 </w:t>
      </w:r>
      <w:r w:rsidR="00313B5A" w:rsidRPr="00B47608">
        <w:rPr>
          <w:b/>
          <w:bCs/>
        </w:rPr>
        <w:t>Quanto è d’accordo con le seguenti affermazioni? (saldi di opinione</w:t>
      </w:r>
      <w:r w:rsidR="009C4815" w:rsidRPr="00B47608">
        <w:rPr>
          <w:b/>
          <w:bCs/>
        </w:rPr>
        <w:t>*</w:t>
      </w:r>
      <w:r w:rsidR="00BD7419" w:rsidRPr="00B47608">
        <w:rPr>
          <w:b/>
          <w:bCs/>
        </w:rPr>
        <w:t>, p.p.</w:t>
      </w:r>
      <w:r w:rsidR="00313B5A" w:rsidRPr="00B47608">
        <w:rPr>
          <w:b/>
          <w:bCs/>
        </w:rPr>
        <w:t>)</w:t>
      </w:r>
    </w:p>
    <w:p w14:paraId="0452CCFE" w14:textId="0E062CEA" w:rsidR="008B1CD4" w:rsidRPr="00B47608" w:rsidRDefault="008B1CD4" w:rsidP="00ED2A57">
      <w:pPr>
        <w:spacing w:after="0"/>
        <w:rPr>
          <w:b/>
          <w:bCs/>
        </w:rPr>
      </w:pPr>
      <w:r w:rsidRPr="00B47608">
        <w:rPr>
          <w:noProof/>
        </w:rPr>
        <w:drawing>
          <wp:inline distT="0" distB="0" distL="0" distR="0" wp14:anchorId="1DF5B34C" wp14:editId="314D3357">
            <wp:extent cx="5398770" cy="3359426"/>
            <wp:effectExtent l="0" t="0" r="0" b="0"/>
            <wp:docPr id="1535175714" name="Grafico 1">
              <a:extLst xmlns:a="http://schemas.openxmlformats.org/drawingml/2006/main">
                <a:ext uri="{FF2B5EF4-FFF2-40B4-BE49-F238E27FC236}">
                  <a16:creationId xmlns:a16="http://schemas.microsoft.com/office/drawing/2014/main" id="{F75929C4-C6C8-4EDC-A498-A089B8CDD4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8AFC753" w14:textId="1C54256C" w:rsidR="009C4815" w:rsidRPr="00B47608" w:rsidRDefault="009C4815" w:rsidP="00ED2A57">
      <w:pPr>
        <w:spacing w:after="0"/>
      </w:pPr>
      <w:r w:rsidRPr="00B47608">
        <w:t xml:space="preserve">* differenza tra </w:t>
      </w:r>
      <w:r w:rsidR="000B5111" w:rsidRPr="00B47608">
        <w:t>disaccordo e consenso</w:t>
      </w:r>
    </w:p>
    <w:p w14:paraId="5E8D552F" w14:textId="1401EB62" w:rsidR="00313B5A" w:rsidRPr="00B47608" w:rsidRDefault="00313B5A" w:rsidP="00ED2A57">
      <w:pPr>
        <w:spacing w:after="0"/>
      </w:pPr>
      <w:r w:rsidRPr="00B47608">
        <w:t>Fonte: Fondazione Nord Est (463 casi)</w:t>
      </w:r>
    </w:p>
    <w:p w14:paraId="6F826737" w14:textId="77777777" w:rsidR="00313B5A" w:rsidRPr="00B47608" w:rsidRDefault="00313B5A" w:rsidP="00ED2A57">
      <w:pPr>
        <w:spacing w:after="0"/>
      </w:pPr>
    </w:p>
    <w:p w14:paraId="2104B912" w14:textId="7B2A9FC2" w:rsidR="00A158B7" w:rsidRPr="00B47608" w:rsidRDefault="00A158B7" w:rsidP="00A158B7">
      <w:pPr>
        <w:spacing w:after="0"/>
        <w:jc w:val="both"/>
      </w:pPr>
      <w:r w:rsidRPr="00B47608">
        <w:lastRenderedPageBreak/>
        <w:t xml:space="preserve">L’analisi dei saldi di opinione permette di avere una visione più chiara dei pareri degli intervistati rispetto al </w:t>
      </w:r>
      <w:proofErr w:type="spellStart"/>
      <w:r w:rsidRPr="00B47608">
        <w:t>friendshoring</w:t>
      </w:r>
      <w:proofErr w:type="spellEnd"/>
      <w:r w:rsidRPr="00B47608">
        <w:t xml:space="preserve">. </w:t>
      </w:r>
      <w:r w:rsidR="009264E8" w:rsidRPr="00B47608">
        <w:t xml:space="preserve">Gli intervistati ritengono che il </w:t>
      </w:r>
      <w:proofErr w:type="spellStart"/>
      <w:r w:rsidR="009264E8" w:rsidRPr="00B47608">
        <w:t>friendshoring</w:t>
      </w:r>
      <w:proofErr w:type="spellEnd"/>
      <w:r w:rsidR="009264E8" w:rsidRPr="00B47608">
        <w:t xml:space="preserve"> </w:t>
      </w:r>
      <w:r w:rsidR="00582A77" w:rsidRPr="00B47608">
        <w:t xml:space="preserve">non sia un fenomeno marginale e che impatterà in maniera sostanziale sugli scambi internazionali. </w:t>
      </w:r>
      <w:r w:rsidRPr="00B47608">
        <w:t xml:space="preserve">Al tempo stesso </w:t>
      </w:r>
      <w:r w:rsidR="00B00F63" w:rsidRPr="00B47608">
        <w:t>la maggioranza</w:t>
      </w:r>
      <w:r w:rsidRPr="00B47608">
        <w:t xml:space="preserve"> </w:t>
      </w:r>
      <w:r w:rsidR="00B00F63" w:rsidRPr="00B47608">
        <w:t>ritiene</w:t>
      </w:r>
      <w:r w:rsidRPr="00B47608">
        <w:t xml:space="preserve"> che gli effetti </w:t>
      </w:r>
      <w:r w:rsidR="000113B8" w:rsidRPr="00B47608">
        <w:t>di tale fenomeno</w:t>
      </w:r>
      <w:r w:rsidRPr="00B47608">
        <w:t xml:space="preserve"> non siano ancora </w:t>
      </w:r>
      <w:r w:rsidR="000113B8" w:rsidRPr="00B47608">
        <w:t>dispiegati</w:t>
      </w:r>
      <w:r w:rsidR="00811C4B" w:rsidRPr="00B47608">
        <w:t xml:space="preserve">. </w:t>
      </w:r>
      <w:r w:rsidR="004B07B5" w:rsidRPr="00B47608">
        <w:t>Un’altra</w:t>
      </w:r>
      <w:r w:rsidRPr="00B47608">
        <w:t xml:space="preserve"> affermazion</w:t>
      </w:r>
      <w:r w:rsidR="004B07B5" w:rsidRPr="00B47608">
        <w:t>e</w:t>
      </w:r>
      <w:r w:rsidRPr="00B47608">
        <w:t xml:space="preserve"> trova concordi gli intervistati: il </w:t>
      </w:r>
      <w:proofErr w:type="spellStart"/>
      <w:r w:rsidRPr="00B47608">
        <w:t>friendshoring</w:t>
      </w:r>
      <w:proofErr w:type="spellEnd"/>
      <w:r w:rsidRPr="00B47608">
        <w:t xml:space="preserve"> riguarderà in prevalenza le forniture strategiche</w:t>
      </w:r>
      <w:r w:rsidR="0065009F" w:rsidRPr="00B47608">
        <w:t xml:space="preserve">. Meno nette le posizioni sull’ipotesi </w:t>
      </w:r>
      <w:r w:rsidR="00BC517D" w:rsidRPr="00B47608">
        <w:t>ch</w:t>
      </w:r>
      <w:r w:rsidRPr="00B47608">
        <w:t xml:space="preserve">e potrebbe aprire prospettive interessanti per le imprese italiane negli USA </w:t>
      </w:r>
      <w:r w:rsidR="00A84D7A" w:rsidRPr="00B47608">
        <w:t xml:space="preserve">sul fatto che il </w:t>
      </w:r>
      <w:proofErr w:type="spellStart"/>
      <w:r w:rsidR="003A71B0" w:rsidRPr="00B47608">
        <w:t>friendshoring</w:t>
      </w:r>
      <w:proofErr w:type="spellEnd"/>
      <w:r w:rsidR="003A71B0" w:rsidRPr="00B47608">
        <w:t xml:space="preserve"> impatterà</w:t>
      </w:r>
      <w:r w:rsidRPr="00B47608">
        <w:t xml:space="preserve"> più sugli investimenti diretti all’estero che sullo scambio di beni </w:t>
      </w:r>
      <w:r w:rsidR="003A71B0" w:rsidRPr="00B47608">
        <w:t>e che</w:t>
      </w:r>
      <w:r w:rsidR="00A84D7A" w:rsidRPr="00B47608">
        <w:t xml:space="preserve"> è</w:t>
      </w:r>
      <w:r w:rsidR="00813C3A">
        <w:t xml:space="preserve"> </w:t>
      </w:r>
      <w:r w:rsidRPr="00B47608">
        <w:t>impossibile modificare le reti di fornitura nel breve periodo</w:t>
      </w:r>
      <w:r w:rsidR="00A84D7A" w:rsidRPr="00B47608">
        <w:t xml:space="preserve">: su queste </w:t>
      </w:r>
      <w:r w:rsidR="004C3149" w:rsidRPr="00B47608">
        <w:t>affermazioni</w:t>
      </w:r>
      <w:r w:rsidRPr="00B47608">
        <w:t xml:space="preserve"> non sembra esserci un’opinione prevalente. </w:t>
      </w:r>
    </w:p>
    <w:p w14:paraId="09A025BD" w14:textId="78BE9BD8" w:rsidR="00493B81" w:rsidRPr="00B47608" w:rsidRDefault="00493B81" w:rsidP="00ED2A57">
      <w:pPr>
        <w:spacing w:after="0"/>
      </w:pPr>
      <w:r w:rsidRPr="00B47608">
        <w:br w:type="page"/>
      </w:r>
    </w:p>
    <w:p w14:paraId="689C24CE" w14:textId="77777777" w:rsidR="00AD00EF" w:rsidRDefault="00AD00EF" w:rsidP="00ED2A57">
      <w:pPr>
        <w:pStyle w:val="Titolo2"/>
        <w:spacing w:after="0"/>
        <w:rPr>
          <w:rFonts w:asciiTheme="minorHAnsi" w:hAnsiTheme="minorHAnsi"/>
        </w:rPr>
      </w:pPr>
    </w:p>
    <w:p w14:paraId="100495C0" w14:textId="7804BB8E" w:rsidR="00493B81" w:rsidRPr="00B47608" w:rsidRDefault="008878A1" w:rsidP="00ED2A57">
      <w:pPr>
        <w:pStyle w:val="Titolo2"/>
        <w:spacing w:after="0"/>
        <w:rPr>
          <w:rFonts w:asciiTheme="minorHAnsi" w:hAnsiTheme="minorHAnsi"/>
        </w:rPr>
      </w:pPr>
      <w:bookmarkStart w:id="15" w:name="_Toc193106859"/>
      <w:r w:rsidRPr="00B47608">
        <w:rPr>
          <w:rFonts w:asciiTheme="minorHAnsi" w:hAnsiTheme="minorHAnsi"/>
        </w:rPr>
        <w:t xml:space="preserve">3. </w:t>
      </w:r>
      <w:r w:rsidR="00493B81" w:rsidRPr="00B47608">
        <w:rPr>
          <w:rFonts w:asciiTheme="minorHAnsi" w:hAnsiTheme="minorHAnsi"/>
        </w:rPr>
        <w:t xml:space="preserve">La crisi </w:t>
      </w:r>
      <w:r w:rsidR="008D07B7" w:rsidRPr="00B47608">
        <w:rPr>
          <w:rFonts w:asciiTheme="minorHAnsi" w:hAnsiTheme="minorHAnsi"/>
        </w:rPr>
        <w:t>della Germania</w:t>
      </w:r>
      <w:bookmarkEnd w:id="15"/>
    </w:p>
    <w:p w14:paraId="4382600D" w14:textId="77777777" w:rsidR="00493B81" w:rsidRPr="00B47608" w:rsidRDefault="00493B81" w:rsidP="00ED2A57">
      <w:pPr>
        <w:spacing w:after="0"/>
      </w:pPr>
    </w:p>
    <w:p w14:paraId="4B65BB3B" w14:textId="77777777" w:rsidR="00ED2A57" w:rsidRPr="00B47608" w:rsidRDefault="00ED2A57" w:rsidP="00ED2A57">
      <w:pPr>
        <w:spacing w:after="0"/>
      </w:pPr>
    </w:p>
    <w:p w14:paraId="1AF6D9BD" w14:textId="22691BE2" w:rsidR="004029D0" w:rsidRPr="00B47608" w:rsidRDefault="004029D0" w:rsidP="004029D0">
      <w:pPr>
        <w:spacing w:after="0"/>
        <w:jc w:val="both"/>
      </w:pPr>
      <w:r w:rsidRPr="00B47608">
        <w:t xml:space="preserve">Il lavoro "The </w:t>
      </w:r>
      <w:proofErr w:type="spellStart"/>
      <w:r w:rsidRPr="00B47608">
        <w:t>recent</w:t>
      </w:r>
      <w:proofErr w:type="spellEnd"/>
      <w:r w:rsidRPr="00B47608">
        <w:t xml:space="preserve"> </w:t>
      </w:r>
      <w:proofErr w:type="spellStart"/>
      <w:r w:rsidRPr="00B47608">
        <w:t>weakness</w:t>
      </w:r>
      <w:proofErr w:type="spellEnd"/>
      <w:r w:rsidRPr="00B47608">
        <w:t xml:space="preserve"> in the German manufacturing </w:t>
      </w:r>
      <w:proofErr w:type="spellStart"/>
      <w:r w:rsidRPr="00B47608">
        <w:t>sector</w:t>
      </w:r>
      <w:proofErr w:type="spellEnd"/>
      <w:r w:rsidRPr="00B47608">
        <w:t xml:space="preserve">" di Marco </w:t>
      </w:r>
      <w:proofErr w:type="spellStart"/>
      <w:r w:rsidRPr="00B47608">
        <w:t>Flaccadoro</w:t>
      </w:r>
      <w:proofErr w:type="spellEnd"/>
      <w:r w:rsidRPr="00B47608">
        <w:t xml:space="preserve"> </w:t>
      </w:r>
      <w:r w:rsidR="00AA24DE" w:rsidRPr="00B47608">
        <w:t>apparso</w:t>
      </w:r>
      <w:r w:rsidRPr="00B47608">
        <w:t xml:space="preserve"> tra gli </w:t>
      </w:r>
      <w:proofErr w:type="spellStart"/>
      <w:r w:rsidRPr="00B47608">
        <w:t>Occasional</w:t>
      </w:r>
      <w:proofErr w:type="spellEnd"/>
      <w:r w:rsidRPr="00B47608">
        <w:t xml:space="preserve"> Paper di Banca d’Italia aiuta a inquadrare la crisi del settore manifatturiero tedesco, l’impatto che questo ha sull’economia italiana e quelle che potrebbero essere le prospettive future. </w:t>
      </w:r>
    </w:p>
    <w:p w14:paraId="6C829443" w14:textId="77777777" w:rsidR="004029D0" w:rsidRPr="00B47608" w:rsidRDefault="004029D0" w:rsidP="004029D0">
      <w:pPr>
        <w:spacing w:after="0"/>
        <w:jc w:val="both"/>
      </w:pPr>
    </w:p>
    <w:p w14:paraId="0B0BEA80" w14:textId="1F23615A" w:rsidR="004029D0" w:rsidRPr="00B47608" w:rsidRDefault="004029D0" w:rsidP="004029D0">
      <w:pPr>
        <w:spacing w:after="0"/>
        <w:jc w:val="both"/>
      </w:pPr>
      <w:r w:rsidRPr="00B47608">
        <w:t xml:space="preserve">Sono tre i fattori che più pesantemente hanno contribuito alla recente debolezza del manifatturiero tedesco: il primo è riconducibile all’aumento dei prezzi del gas. L'incremento dei prezzi del gas in Europa, in gran parte dovuto all'invasione russa dell'Ucraina, ha colpito più duramente i produttori tedeschi a causa della maggiore dipendenza dal gas delle industrie tedesche ad alta intensità energetica. Si pensi al settore chimico tedesco che dipende fortemente dal gas naturale come input intermedio. Il secondo fattore è riconducibile alla debolezza che caratterizza la domanda globale di beni industriali, che ha colpito più duramente le imprese manifatturiere in Germania rispetto ad altre zone dell'euro, a causa della loro maggiore esposizione alla domanda estera. Nel 2023, le esportazioni di merci rappresentavano il 34% del PIL in Germania, rispetto al 27% in Italia e al 23% in Francia. Inoltre, le esportazioni di merci tedesche erano più orientate verso la Cina (6,1% del totale delle esportazioni di merci, rispetto al 4,2% in Francia e al 3,1% in Italia). Le difficoltà del settore automobilistico rappresentano il terzo fattore che ha contribuito all’indebolimento del manifatturiero tedesco. In Germania, il settore automobilistico rappresenta il 16% dell'attività manifatturiera totale. Nell'area euro nel suo complesso, il settore automobilistico rappresenta solamente il 9% dell'attività manifatturiera. Questa differenza di peso rende l'economia tedesca più vulnerabile ai problemi che affliggono il settore automobilistico, come la debole domanda, le incertezze legate alla transizione verso i veicoli elettrici e la crescente concorrenza delle case automobilistiche cinesi. Le immatricolazioni di auto mostrano </w:t>
      </w:r>
      <w:r w:rsidR="00AA24DE" w:rsidRPr="00B47608">
        <w:t>una tendenza discendente</w:t>
      </w:r>
      <w:r w:rsidRPr="00B47608">
        <w:t xml:space="preserve"> in tutti i paesi dell'area euro. Inoltre, le esportazioni tedesche di autoveicoli sono rimaste deboli dopo la crisi pandemica.</w:t>
      </w:r>
    </w:p>
    <w:p w14:paraId="4706E390" w14:textId="77777777" w:rsidR="00AA24DE" w:rsidRPr="00B47608" w:rsidRDefault="00AA24DE" w:rsidP="004029D0">
      <w:pPr>
        <w:spacing w:after="0"/>
        <w:jc w:val="both"/>
      </w:pPr>
    </w:p>
    <w:p w14:paraId="632FE4E0" w14:textId="59395072" w:rsidR="004029D0" w:rsidRPr="00B47608" w:rsidRDefault="004029D0" w:rsidP="004029D0">
      <w:pPr>
        <w:spacing w:after="0"/>
        <w:jc w:val="both"/>
      </w:pPr>
      <w:r w:rsidRPr="00B47608">
        <w:t xml:space="preserve">Una volta individuati i motivi della crisi </w:t>
      </w:r>
      <w:proofErr w:type="spellStart"/>
      <w:r w:rsidRPr="00B47608">
        <w:t>Flaccadoro</w:t>
      </w:r>
      <w:proofErr w:type="spellEnd"/>
      <w:r w:rsidRPr="00B47608">
        <w:t xml:space="preserve"> analizza le ricadute che l’</w:t>
      </w:r>
      <w:r w:rsidR="00C10BB2" w:rsidRPr="00B47608">
        <w:t>indebolimento</w:t>
      </w:r>
      <w:r w:rsidRPr="00B47608">
        <w:t xml:space="preserve"> del manifatturiero produce sugli altri paesi europei. I risultati delle analisi mostrano che le ricadute dall'industria tedesca al settore manifatturiero di altre economie dell'area euro sono significative in particolare per </w:t>
      </w:r>
      <w:r w:rsidR="00AA24DE" w:rsidRPr="00B47608">
        <w:t>l’Italia</w:t>
      </w:r>
      <w:r w:rsidRPr="00B47608">
        <w:t>. Questo suggerisce che l'Italia è significativamente influenzata dagli sviluppi nel settore manifatturiero tedesco</w:t>
      </w:r>
      <w:r w:rsidR="001A21FD" w:rsidRPr="00B47608">
        <w:t xml:space="preserve"> a causa della forte integrazione nelle catene del valore di alcuni comparti</w:t>
      </w:r>
      <w:r w:rsidR="00D853A5" w:rsidRPr="00B47608">
        <w:t xml:space="preserve"> come quello dei </w:t>
      </w:r>
      <w:r w:rsidRPr="00B47608">
        <w:t>beni capitali</w:t>
      </w:r>
      <w:r w:rsidR="000F52D5" w:rsidRPr="00B47608">
        <w:t xml:space="preserve"> (macchinari e attrezzature)</w:t>
      </w:r>
      <w:r w:rsidRPr="00B47608">
        <w:t>, intermedi e di consumo durevole</w:t>
      </w:r>
      <w:r w:rsidR="00897262" w:rsidRPr="00B47608">
        <w:t xml:space="preserve"> come arredi, elettrodomestici e le autovetture</w:t>
      </w:r>
      <w:r w:rsidR="00AA24DE" w:rsidRPr="00B47608">
        <w:t>.</w:t>
      </w:r>
    </w:p>
    <w:p w14:paraId="4D5E6244" w14:textId="77777777" w:rsidR="00AA24DE" w:rsidRPr="00B47608" w:rsidRDefault="00AA24DE" w:rsidP="004029D0">
      <w:pPr>
        <w:spacing w:after="0"/>
        <w:jc w:val="both"/>
      </w:pPr>
    </w:p>
    <w:p w14:paraId="1E3406FA" w14:textId="0405C1B6" w:rsidR="004029D0" w:rsidRPr="00B47608" w:rsidRDefault="004029D0" w:rsidP="004029D0">
      <w:pPr>
        <w:spacing w:after="0"/>
        <w:jc w:val="both"/>
      </w:pPr>
      <w:r w:rsidRPr="00B47608">
        <w:t xml:space="preserve">L’articolo di </w:t>
      </w:r>
      <w:proofErr w:type="spellStart"/>
      <w:r w:rsidRPr="00B47608">
        <w:t>Flaccadoro</w:t>
      </w:r>
      <w:proofErr w:type="spellEnd"/>
      <w:r w:rsidRPr="00B47608">
        <w:t xml:space="preserve"> si chiude con alcune considerazioni sul futuro che si possono così sintetizzare: il futuro del settore manifatturiero tedesco è incerto e dipende da diversi fattori, tra cui i prezzi dell'energia, la domanda globale, la concorrenza internazionale e le decisioni politiche. La capacità delle aziende tedesche di adattarsi a queste sfide sarà determinante per il loro successo futuro e per la stabilità economica dell'area euro</w:t>
      </w:r>
      <w:r w:rsidR="000C6F17" w:rsidRPr="00B47608">
        <w:t xml:space="preserve">. </w:t>
      </w:r>
    </w:p>
    <w:p w14:paraId="24481DED" w14:textId="77777777" w:rsidR="00B22446" w:rsidRPr="00B47608" w:rsidRDefault="00B22446" w:rsidP="004029D0">
      <w:pPr>
        <w:spacing w:after="0"/>
        <w:jc w:val="both"/>
      </w:pPr>
    </w:p>
    <w:p w14:paraId="6CCAAEF4" w14:textId="3D3472B5" w:rsidR="00EE23A0" w:rsidRPr="00B47608" w:rsidRDefault="00FF6334" w:rsidP="00ED2A57">
      <w:pPr>
        <w:spacing w:after="0"/>
        <w:jc w:val="both"/>
      </w:pPr>
      <w:r w:rsidRPr="00B47608">
        <w:t>Gli effetti della crisi del manifatturiero tedesco</w:t>
      </w:r>
      <w:r w:rsidR="00A76947" w:rsidRPr="00B47608">
        <w:t xml:space="preserve"> sull’economia del Veneto</w:t>
      </w:r>
      <w:r w:rsidRPr="00B47608">
        <w:t xml:space="preserve"> sono vis</w:t>
      </w:r>
      <w:r w:rsidR="00A76947" w:rsidRPr="00B47608">
        <w:t xml:space="preserve">ibili: </w:t>
      </w:r>
      <w:r w:rsidR="00A977C6" w:rsidRPr="00B47608">
        <w:t>i</w:t>
      </w:r>
      <w:r w:rsidR="001A0C40" w:rsidRPr="00B47608">
        <w:t xml:space="preserve"> dati relativi </w:t>
      </w:r>
      <w:r w:rsidR="009D4D66" w:rsidRPr="00B47608">
        <w:t>alla riduzione</w:t>
      </w:r>
      <w:r w:rsidR="001A0C40" w:rsidRPr="00B47608">
        <w:t xml:space="preserve"> delle esportazioni </w:t>
      </w:r>
      <w:r w:rsidR="009D4D66" w:rsidRPr="00B47608">
        <w:t xml:space="preserve">regionali registrata </w:t>
      </w:r>
      <w:r w:rsidR="001A0C40" w:rsidRPr="00B47608">
        <w:t>nei primi nove mesi del 2024</w:t>
      </w:r>
      <w:r w:rsidR="005D17C6" w:rsidRPr="00B47608">
        <w:t xml:space="preserve"> </w:t>
      </w:r>
      <w:r w:rsidR="009D4D66" w:rsidRPr="00B47608">
        <w:t>riportati nel secondo capitolo</w:t>
      </w:r>
      <w:r w:rsidR="001A0C40" w:rsidRPr="00B47608">
        <w:t xml:space="preserve"> sono</w:t>
      </w:r>
      <w:r w:rsidR="00A977C6" w:rsidRPr="00B47608">
        <w:t xml:space="preserve"> infatti</w:t>
      </w:r>
      <w:r w:rsidR="001A0C40" w:rsidRPr="00B47608">
        <w:t xml:space="preserve"> influenzati negativamente dalle esportazioni verso la Germania</w:t>
      </w:r>
      <w:r w:rsidR="009B3F15" w:rsidRPr="00B47608">
        <w:t>.</w:t>
      </w:r>
      <w:r w:rsidR="001A0C40" w:rsidRPr="00B47608">
        <w:t xml:space="preserve"> </w:t>
      </w:r>
      <w:r w:rsidR="008D60CA" w:rsidRPr="00B47608">
        <w:t>Nel</w:t>
      </w:r>
      <w:r w:rsidR="000F5661" w:rsidRPr="00B47608">
        <w:t xml:space="preserve"> 2024 le esportazioni verso </w:t>
      </w:r>
      <w:r w:rsidR="00EE23A0" w:rsidRPr="00B47608">
        <w:t>tale paese</w:t>
      </w:r>
      <w:r w:rsidR="000F5661" w:rsidRPr="00B47608">
        <w:t xml:space="preserve"> si sono ridotte del </w:t>
      </w:r>
      <w:r w:rsidR="008D60CA" w:rsidRPr="00B47608">
        <w:t>5</w:t>
      </w:r>
      <w:r w:rsidR="000F5661" w:rsidRPr="00B47608">
        <w:t>,</w:t>
      </w:r>
      <w:r w:rsidR="008D60CA" w:rsidRPr="00B47608">
        <w:t>5</w:t>
      </w:r>
      <w:r w:rsidR="000F5661" w:rsidRPr="00B47608">
        <w:t>%.</w:t>
      </w:r>
      <w:r w:rsidR="009B3F15" w:rsidRPr="00B47608">
        <w:t xml:space="preserve"> </w:t>
      </w:r>
    </w:p>
    <w:p w14:paraId="3B7C0C86" w14:textId="370DDCBE" w:rsidR="000F5661" w:rsidRPr="00B47608" w:rsidRDefault="00EE23A0" w:rsidP="000C24C3">
      <w:pPr>
        <w:spacing w:after="0"/>
        <w:jc w:val="both"/>
      </w:pPr>
      <w:r w:rsidRPr="00B47608">
        <w:lastRenderedPageBreak/>
        <w:t xml:space="preserve">La Germania è un mercato particolarmente rilevante per le imprese del Veneto: </w:t>
      </w:r>
      <w:r w:rsidR="000C24C3" w:rsidRPr="00B47608">
        <w:t xml:space="preserve">nel </w:t>
      </w:r>
      <w:r w:rsidR="009B3F15" w:rsidRPr="00B47608">
        <w:t>2023 ha assorbito quasi il 14% delle esportazioni totali della regione</w:t>
      </w:r>
      <w:r w:rsidR="000C24C3" w:rsidRPr="00B47608">
        <w:t xml:space="preserve"> e il 61,7% delle imprese intervistate ha dichiarato di esporta</w:t>
      </w:r>
      <w:r w:rsidR="00D80BC7" w:rsidRPr="00B47608">
        <w:t>re in quel mercato, con punte del 71,5% tra le imprese della meccanica, a testimonianza della forte integrazione tra le filiere dei du</w:t>
      </w:r>
      <w:r w:rsidR="00EB3288" w:rsidRPr="00B47608">
        <w:t xml:space="preserve">e sistemi economici. </w:t>
      </w:r>
    </w:p>
    <w:p w14:paraId="01F67ABD" w14:textId="77777777" w:rsidR="000C24C3" w:rsidRPr="00B47608" w:rsidRDefault="000C24C3" w:rsidP="000C24C3">
      <w:pPr>
        <w:spacing w:after="0"/>
        <w:jc w:val="both"/>
      </w:pPr>
    </w:p>
    <w:p w14:paraId="2A734CCD" w14:textId="3DCB9785" w:rsidR="00464CEC" w:rsidRPr="00B47608" w:rsidRDefault="000F5661" w:rsidP="00ED2A57">
      <w:pPr>
        <w:spacing w:after="0"/>
        <w:rPr>
          <w:b/>
          <w:bCs/>
        </w:rPr>
      </w:pPr>
      <w:r w:rsidRPr="00B47608">
        <w:rPr>
          <w:b/>
          <w:bCs/>
        </w:rPr>
        <w:t xml:space="preserve">Tab. </w:t>
      </w:r>
      <w:r w:rsidR="00464CEC" w:rsidRPr="00B47608">
        <w:rPr>
          <w:b/>
          <w:bCs/>
        </w:rPr>
        <w:t>2.</w:t>
      </w:r>
      <w:r w:rsidRPr="00B47608">
        <w:rPr>
          <w:b/>
          <w:bCs/>
        </w:rPr>
        <w:t>1</w:t>
      </w:r>
      <w:r w:rsidR="00464CEC" w:rsidRPr="00B47608">
        <w:rPr>
          <w:b/>
          <w:bCs/>
        </w:rPr>
        <w:t xml:space="preserve"> Imprese che esportano in Germania</w:t>
      </w:r>
      <w:r w:rsidR="00971609" w:rsidRPr="00B47608">
        <w:rPr>
          <w:b/>
          <w:bCs/>
        </w:rPr>
        <w:t xml:space="preserve"> (Val.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57"/>
        <w:gridCol w:w="1692"/>
        <w:gridCol w:w="1693"/>
        <w:gridCol w:w="1693"/>
        <w:gridCol w:w="1693"/>
      </w:tblGrid>
      <w:tr w:rsidR="00646B5C" w:rsidRPr="00B47608" w14:paraId="1ECD7955" w14:textId="77777777" w:rsidTr="00037B27">
        <w:trPr>
          <w:trHeight w:val="312"/>
        </w:trPr>
        <w:tc>
          <w:tcPr>
            <w:tcW w:w="1484" w:type="pct"/>
            <w:shd w:val="clear" w:color="auto" w:fill="auto"/>
            <w:noWrap/>
            <w:vAlign w:val="bottom"/>
            <w:hideMark/>
          </w:tcPr>
          <w:p w14:paraId="64EF3E59" w14:textId="77777777" w:rsidR="00646B5C" w:rsidRPr="00B47608" w:rsidRDefault="00646B5C" w:rsidP="00ED2A57">
            <w:pPr>
              <w:spacing w:after="0" w:line="240" w:lineRule="auto"/>
              <w:rPr>
                <w:rFonts w:eastAsia="Times New Roman" w:cs="Times New Roman"/>
                <w:kern w:val="0"/>
                <w:sz w:val="24"/>
                <w:szCs w:val="24"/>
                <w:lang w:eastAsia="it-IT"/>
                <w14:ligatures w14:val="none"/>
              </w:rPr>
            </w:pPr>
          </w:p>
        </w:tc>
        <w:tc>
          <w:tcPr>
            <w:tcW w:w="879" w:type="pct"/>
            <w:shd w:val="clear" w:color="auto" w:fill="auto"/>
            <w:noWrap/>
            <w:vAlign w:val="bottom"/>
            <w:hideMark/>
          </w:tcPr>
          <w:p w14:paraId="4937D125" w14:textId="77777777" w:rsidR="00646B5C" w:rsidRPr="00B47608" w:rsidRDefault="00646B5C"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Sì</w:t>
            </w:r>
          </w:p>
        </w:tc>
        <w:tc>
          <w:tcPr>
            <w:tcW w:w="879" w:type="pct"/>
            <w:shd w:val="clear" w:color="auto" w:fill="auto"/>
            <w:noWrap/>
            <w:vAlign w:val="bottom"/>
            <w:hideMark/>
          </w:tcPr>
          <w:p w14:paraId="7D5F5918" w14:textId="77777777" w:rsidR="00646B5C" w:rsidRPr="00B47608" w:rsidRDefault="00646B5C"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No</w:t>
            </w:r>
          </w:p>
        </w:tc>
        <w:tc>
          <w:tcPr>
            <w:tcW w:w="879" w:type="pct"/>
            <w:shd w:val="clear" w:color="auto" w:fill="auto"/>
            <w:noWrap/>
            <w:vAlign w:val="bottom"/>
            <w:hideMark/>
          </w:tcPr>
          <w:p w14:paraId="4DE9FA0F" w14:textId="77777777" w:rsidR="00646B5C" w:rsidRPr="00B47608" w:rsidRDefault="00646B5C" w:rsidP="00ED2A57">
            <w:pPr>
              <w:spacing w:after="0" w:line="240" w:lineRule="auto"/>
              <w:jc w:val="center"/>
              <w:rPr>
                <w:rFonts w:eastAsia="Times New Roman" w:cs="Calibri"/>
                <w:b/>
                <w:bCs/>
                <w:color w:val="000000"/>
                <w:kern w:val="0"/>
                <w:lang w:eastAsia="it-IT"/>
                <w14:ligatures w14:val="none"/>
              </w:rPr>
            </w:pPr>
            <w:proofErr w:type="spellStart"/>
            <w:r w:rsidRPr="00B47608">
              <w:rPr>
                <w:rFonts w:eastAsia="Times New Roman" w:cs="Calibri"/>
                <w:b/>
                <w:bCs/>
                <w:color w:val="000000"/>
                <w:kern w:val="0"/>
                <w:lang w:eastAsia="it-IT"/>
                <w14:ligatures w14:val="none"/>
              </w:rPr>
              <w:t>n.r</w:t>
            </w:r>
            <w:proofErr w:type="spellEnd"/>
            <w:r w:rsidRPr="00B47608">
              <w:rPr>
                <w:rFonts w:eastAsia="Times New Roman" w:cs="Calibri"/>
                <w:b/>
                <w:bCs/>
                <w:color w:val="000000"/>
                <w:kern w:val="0"/>
                <w:lang w:eastAsia="it-IT"/>
                <w14:ligatures w14:val="none"/>
              </w:rPr>
              <w:t>.</w:t>
            </w:r>
          </w:p>
        </w:tc>
        <w:tc>
          <w:tcPr>
            <w:tcW w:w="879" w:type="pct"/>
            <w:shd w:val="clear" w:color="auto" w:fill="auto"/>
            <w:noWrap/>
            <w:vAlign w:val="bottom"/>
            <w:hideMark/>
          </w:tcPr>
          <w:p w14:paraId="242AF388" w14:textId="77777777" w:rsidR="00646B5C" w:rsidRPr="00B47608" w:rsidRDefault="00646B5C"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Totale</w:t>
            </w:r>
          </w:p>
        </w:tc>
      </w:tr>
      <w:tr w:rsidR="00646B5C" w:rsidRPr="00B47608" w14:paraId="4FCD9E04" w14:textId="77777777" w:rsidTr="00037B27">
        <w:trPr>
          <w:trHeight w:val="312"/>
        </w:trPr>
        <w:tc>
          <w:tcPr>
            <w:tcW w:w="1484" w:type="pct"/>
            <w:shd w:val="clear" w:color="auto" w:fill="auto"/>
            <w:noWrap/>
            <w:vAlign w:val="bottom"/>
            <w:hideMark/>
          </w:tcPr>
          <w:p w14:paraId="4BB46BF3" w14:textId="77777777" w:rsidR="00646B5C" w:rsidRPr="00B47608" w:rsidRDefault="00646B5C" w:rsidP="00ED2A57">
            <w:pPr>
              <w:spacing w:after="0" w:line="240" w:lineRule="auto"/>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Tutti</w:t>
            </w:r>
          </w:p>
        </w:tc>
        <w:tc>
          <w:tcPr>
            <w:tcW w:w="879" w:type="pct"/>
            <w:shd w:val="clear" w:color="auto" w:fill="auto"/>
            <w:noWrap/>
            <w:vAlign w:val="bottom"/>
            <w:hideMark/>
          </w:tcPr>
          <w:p w14:paraId="639E1A59" w14:textId="59EA4AF5" w:rsidR="00646B5C" w:rsidRPr="00B47608" w:rsidRDefault="00646B5C"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61,7</w:t>
            </w:r>
          </w:p>
        </w:tc>
        <w:tc>
          <w:tcPr>
            <w:tcW w:w="879" w:type="pct"/>
            <w:shd w:val="clear" w:color="auto" w:fill="auto"/>
            <w:noWrap/>
            <w:vAlign w:val="bottom"/>
            <w:hideMark/>
          </w:tcPr>
          <w:p w14:paraId="4365B6B4" w14:textId="0C4A78C4" w:rsidR="00646B5C" w:rsidRPr="00B47608" w:rsidRDefault="00646B5C"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36,2</w:t>
            </w:r>
          </w:p>
        </w:tc>
        <w:tc>
          <w:tcPr>
            <w:tcW w:w="879" w:type="pct"/>
            <w:shd w:val="clear" w:color="auto" w:fill="auto"/>
            <w:noWrap/>
            <w:vAlign w:val="bottom"/>
            <w:hideMark/>
          </w:tcPr>
          <w:p w14:paraId="301EE039" w14:textId="2007AFED" w:rsidR="00646B5C" w:rsidRPr="00B47608" w:rsidRDefault="00646B5C"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2,2</w:t>
            </w:r>
          </w:p>
        </w:tc>
        <w:tc>
          <w:tcPr>
            <w:tcW w:w="879" w:type="pct"/>
            <w:shd w:val="clear" w:color="auto" w:fill="auto"/>
            <w:noWrap/>
            <w:vAlign w:val="bottom"/>
            <w:hideMark/>
          </w:tcPr>
          <w:p w14:paraId="2B8CB377" w14:textId="717F1124" w:rsidR="00646B5C" w:rsidRPr="00B47608" w:rsidRDefault="00646B5C"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100</w:t>
            </w:r>
          </w:p>
        </w:tc>
      </w:tr>
      <w:tr w:rsidR="00646B5C" w:rsidRPr="00B47608" w14:paraId="352D7E6C" w14:textId="77777777" w:rsidTr="00037B27">
        <w:trPr>
          <w:trHeight w:val="312"/>
        </w:trPr>
        <w:tc>
          <w:tcPr>
            <w:tcW w:w="1484" w:type="pct"/>
            <w:shd w:val="clear" w:color="auto" w:fill="auto"/>
            <w:noWrap/>
            <w:vAlign w:val="bottom"/>
            <w:hideMark/>
          </w:tcPr>
          <w:p w14:paraId="1E33EBBA" w14:textId="77777777" w:rsidR="00646B5C" w:rsidRPr="00B47608" w:rsidRDefault="00646B5C" w:rsidP="00ED2A57">
            <w:pPr>
              <w:spacing w:after="0" w:line="240" w:lineRule="auto"/>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Macrosettore</w:t>
            </w:r>
          </w:p>
        </w:tc>
        <w:tc>
          <w:tcPr>
            <w:tcW w:w="879" w:type="pct"/>
            <w:shd w:val="clear" w:color="auto" w:fill="auto"/>
            <w:noWrap/>
            <w:vAlign w:val="bottom"/>
            <w:hideMark/>
          </w:tcPr>
          <w:p w14:paraId="48E7041B" w14:textId="77777777" w:rsidR="00646B5C" w:rsidRPr="00B47608" w:rsidRDefault="00646B5C" w:rsidP="00ED2A57">
            <w:pPr>
              <w:spacing w:after="0" w:line="240" w:lineRule="auto"/>
              <w:jc w:val="center"/>
              <w:rPr>
                <w:rFonts w:eastAsia="Times New Roman" w:cs="Calibri"/>
                <w:b/>
                <w:bCs/>
                <w:color w:val="000000"/>
                <w:kern w:val="0"/>
                <w:lang w:eastAsia="it-IT"/>
                <w14:ligatures w14:val="none"/>
              </w:rPr>
            </w:pPr>
          </w:p>
        </w:tc>
        <w:tc>
          <w:tcPr>
            <w:tcW w:w="879" w:type="pct"/>
            <w:shd w:val="clear" w:color="auto" w:fill="auto"/>
            <w:noWrap/>
            <w:vAlign w:val="bottom"/>
            <w:hideMark/>
          </w:tcPr>
          <w:p w14:paraId="619548DD" w14:textId="77777777" w:rsidR="00646B5C" w:rsidRPr="00B47608" w:rsidRDefault="00646B5C" w:rsidP="00ED2A57">
            <w:pPr>
              <w:spacing w:after="0" w:line="240" w:lineRule="auto"/>
              <w:jc w:val="center"/>
              <w:rPr>
                <w:rFonts w:eastAsia="Times New Roman" w:cs="Times New Roman"/>
                <w:kern w:val="0"/>
                <w:sz w:val="20"/>
                <w:szCs w:val="20"/>
                <w:lang w:eastAsia="it-IT"/>
                <w14:ligatures w14:val="none"/>
              </w:rPr>
            </w:pPr>
          </w:p>
        </w:tc>
        <w:tc>
          <w:tcPr>
            <w:tcW w:w="879" w:type="pct"/>
            <w:shd w:val="clear" w:color="auto" w:fill="auto"/>
            <w:noWrap/>
            <w:vAlign w:val="bottom"/>
            <w:hideMark/>
          </w:tcPr>
          <w:p w14:paraId="371923F2" w14:textId="77777777" w:rsidR="00646B5C" w:rsidRPr="00B47608" w:rsidRDefault="00646B5C" w:rsidP="00ED2A57">
            <w:pPr>
              <w:spacing w:after="0" w:line="240" w:lineRule="auto"/>
              <w:jc w:val="center"/>
              <w:rPr>
                <w:rFonts w:eastAsia="Times New Roman" w:cs="Times New Roman"/>
                <w:kern w:val="0"/>
                <w:sz w:val="20"/>
                <w:szCs w:val="20"/>
                <w:lang w:eastAsia="it-IT"/>
                <w14:ligatures w14:val="none"/>
              </w:rPr>
            </w:pPr>
          </w:p>
        </w:tc>
        <w:tc>
          <w:tcPr>
            <w:tcW w:w="879" w:type="pct"/>
            <w:shd w:val="clear" w:color="auto" w:fill="auto"/>
            <w:noWrap/>
            <w:vAlign w:val="bottom"/>
            <w:hideMark/>
          </w:tcPr>
          <w:p w14:paraId="5A84D6B3" w14:textId="77777777" w:rsidR="00646B5C" w:rsidRPr="00B47608" w:rsidRDefault="00646B5C" w:rsidP="00ED2A57">
            <w:pPr>
              <w:spacing w:after="0" w:line="240" w:lineRule="auto"/>
              <w:jc w:val="center"/>
              <w:rPr>
                <w:rFonts w:eastAsia="Times New Roman" w:cs="Times New Roman"/>
                <w:kern w:val="0"/>
                <w:sz w:val="20"/>
                <w:szCs w:val="20"/>
                <w:lang w:eastAsia="it-IT"/>
                <w14:ligatures w14:val="none"/>
              </w:rPr>
            </w:pPr>
          </w:p>
        </w:tc>
      </w:tr>
      <w:tr w:rsidR="00646B5C" w:rsidRPr="00B47608" w14:paraId="2D94C03D" w14:textId="77777777" w:rsidTr="00037B27">
        <w:trPr>
          <w:trHeight w:val="312"/>
        </w:trPr>
        <w:tc>
          <w:tcPr>
            <w:tcW w:w="1484" w:type="pct"/>
            <w:shd w:val="clear" w:color="auto" w:fill="auto"/>
            <w:noWrap/>
            <w:vAlign w:val="bottom"/>
            <w:hideMark/>
          </w:tcPr>
          <w:p w14:paraId="2D57D691" w14:textId="77777777" w:rsidR="00646B5C" w:rsidRPr="00B47608" w:rsidRDefault="00646B5C"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Altri settori</w:t>
            </w:r>
          </w:p>
        </w:tc>
        <w:tc>
          <w:tcPr>
            <w:tcW w:w="879" w:type="pct"/>
            <w:shd w:val="clear" w:color="auto" w:fill="auto"/>
            <w:noWrap/>
            <w:vAlign w:val="bottom"/>
            <w:hideMark/>
          </w:tcPr>
          <w:p w14:paraId="1DCF50A5" w14:textId="09EEF9D7" w:rsidR="00646B5C" w:rsidRPr="00B47608" w:rsidRDefault="00646B5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54,7</w:t>
            </w:r>
          </w:p>
        </w:tc>
        <w:tc>
          <w:tcPr>
            <w:tcW w:w="879" w:type="pct"/>
            <w:shd w:val="clear" w:color="auto" w:fill="auto"/>
            <w:noWrap/>
            <w:vAlign w:val="bottom"/>
            <w:hideMark/>
          </w:tcPr>
          <w:p w14:paraId="355586DC" w14:textId="2FF36F32" w:rsidR="00646B5C" w:rsidRPr="00B47608" w:rsidRDefault="00646B5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42,4</w:t>
            </w:r>
          </w:p>
        </w:tc>
        <w:tc>
          <w:tcPr>
            <w:tcW w:w="879" w:type="pct"/>
            <w:shd w:val="clear" w:color="auto" w:fill="auto"/>
            <w:noWrap/>
            <w:vAlign w:val="bottom"/>
            <w:hideMark/>
          </w:tcPr>
          <w:p w14:paraId="2D237340" w14:textId="28FD8C95" w:rsidR="00646B5C" w:rsidRPr="00B47608" w:rsidRDefault="00646B5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2,8</w:t>
            </w:r>
          </w:p>
        </w:tc>
        <w:tc>
          <w:tcPr>
            <w:tcW w:w="879" w:type="pct"/>
            <w:shd w:val="clear" w:color="auto" w:fill="auto"/>
            <w:noWrap/>
            <w:vAlign w:val="bottom"/>
            <w:hideMark/>
          </w:tcPr>
          <w:p w14:paraId="4409231C" w14:textId="411EA3F1" w:rsidR="00646B5C" w:rsidRPr="00B47608" w:rsidRDefault="00646B5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w:t>
            </w:r>
          </w:p>
        </w:tc>
      </w:tr>
      <w:tr w:rsidR="00646B5C" w:rsidRPr="00B47608" w14:paraId="685BBDD2" w14:textId="77777777" w:rsidTr="00037B27">
        <w:trPr>
          <w:trHeight w:val="312"/>
        </w:trPr>
        <w:tc>
          <w:tcPr>
            <w:tcW w:w="1484" w:type="pct"/>
            <w:shd w:val="clear" w:color="auto" w:fill="auto"/>
            <w:noWrap/>
            <w:vAlign w:val="bottom"/>
            <w:hideMark/>
          </w:tcPr>
          <w:p w14:paraId="3E9FC08C" w14:textId="77777777" w:rsidR="00646B5C" w:rsidRPr="00B47608" w:rsidRDefault="00646B5C"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Metalmeccanica</w:t>
            </w:r>
          </w:p>
        </w:tc>
        <w:tc>
          <w:tcPr>
            <w:tcW w:w="879" w:type="pct"/>
            <w:shd w:val="clear" w:color="auto" w:fill="auto"/>
            <w:noWrap/>
            <w:vAlign w:val="bottom"/>
            <w:hideMark/>
          </w:tcPr>
          <w:p w14:paraId="11AA9347" w14:textId="03529E0E" w:rsidR="00646B5C" w:rsidRPr="00B47608" w:rsidRDefault="00646B5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71,5</w:t>
            </w:r>
          </w:p>
        </w:tc>
        <w:tc>
          <w:tcPr>
            <w:tcW w:w="879" w:type="pct"/>
            <w:shd w:val="clear" w:color="auto" w:fill="auto"/>
            <w:noWrap/>
            <w:vAlign w:val="bottom"/>
            <w:hideMark/>
          </w:tcPr>
          <w:p w14:paraId="57E0CB28" w14:textId="1386284D" w:rsidR="00646B5C" w:rsidRPr="00B47608" w:rsidRDefault="00646B5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27,2</w:t>
            </w:r>
          </w:p>
        </w:tc>
        <w:tc>
          <w:tcPr>
            <w:tcW w:w="879" w:type="pct"/>
            <w:shd w:val="clear" w:color="auto" w:fill="auto"/>
            <w:noWrap/>
            <w:vAlign w:val="bottom"/>
            <w:hideMark/>
          </w:tcPr>
          <w:p w14:paraId="65DE987E" w14:textId="1CC4C1B5" w:rsidR="00646B5C" w:rsidRPr="00B47608" w:rsidRDefault="00646B5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1,3</w:t>
            </w:r>
          </w:p>
        </w:tc>
        <w:tc>
          <w:tcPr>
            <w:tcW w:w="879" w:type="pct"/>
            <w:shd w:val="clear" w:color="auto" w:fill="auto"/>
            <w:noWrap/>
            <w:vAlign w:val="bottom"/>
            <w:hideMark/>
          </w:tcPr>
          <w:p w14:paraId="278D073F" w14:textId="1E533439" w:rsidR="00646B5C" w:rsidRPr="00B47608" w:rsidRDefault="00646B5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w:t>
            </w:r>
          </w:p>
        </w:tc>
      </w:tr>
      <w:tr w:rsidR="00646B5C" w:rsidRPr="00B47608" w14:paraId="5D389623" w14:textId="77777777" w:rsidTr="00037B27">
        <w:trPr>
          <w:trHeight w:val="312"/>
        </w:trPr>
        <w:tc>
          <w:tcPr>
            <w:tcW w:w="1484" w:type="pct"/>
            <w:shd w:val="clear" w:color="auto" w:fill="auto"/>
            <w:noWrap/>
            <w:vAlign w:val="bottom"/>
            <w:hideMark/>
          </w:tcPr>
          <w:p w14:paraId="228E1B80" w14:textId="77777777" w:rsidR="00646B5C" w:rsidRPr="00B47608" w:rsidRDefault="00646B5C" w:rsidP="00ED2A57">
            <w:pPr>
              <w:spacing w:after="0" w:line="240" w:lineRule="auto"/>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Dimensioni</w:t>
            </w:r>
          </w:p>
        </w:tc>
        <w:tc>
          <w:tcPr>
            <w:tcW w:w="879" w:type="pct"/>
            <w:shd w:val="clear" w:color="auto" w:fill="auto"/>
            <w:noWrap/>
            <w:vAlign w:val="bottom"/>
            <w:hideMark/>
          </w:tcPr>
          <w:p w14:paraId="40C1BACB" w14:textId="77777777" w:rsidR="00646B5C" w:rsidRPr="00B47608" w:rsidRDefault="00646B5C" w:rsidP="00ED2A57">
            <w:pPr>
              <w:spacing w:after="0" w:line="240" w:lineRule="auto"/>
              <w:jc w:val="center"/>
              <w:rPr>
                <w:rFonts w:eastAsia="Times New Roman" w:cs="Calibri"/>
                <w:b/>
                <w:bCs/>
                <w:color w:val="000000"/>
                <w:kern w:val="0"/>
                <w:lang w:eastAsia="it-IT"/>
                <w14:ligatures w14:val="none"/>
              </w:rPr>
            </w:pPr>
          </w:p>
        </w:tc>
        <w:tc>
          <w:tcPr>
            <w:tcW w:w="879" w:type="pct"/>
            <w:shd w:val="clear" w:color="auto" w:fill="auto"/>
            <w:noWrap/>
            <w:vAlign w:val="bottom"/>
            <w:hideMark/>
          </w:tcPr>
          <w:p w14:paraId="6327C78C" w14:textId="77777777" w:rsidR="00646B5C" w:rsidRPr="00B47608" w:rsidRDefault="00646B5C" w:rsidP="00ED2A57">
            <w:pPr>
              <w:spacing w:after="0" w:line="240" w:lineRule="auto"/>
              <w:jc w:val="center"/>
              <w:rPr>
                <w:rFonts w:eastAsia="Times New Roman" w:cs="Times New Roman"/>
                <w:kern w:val="0"/>
                <w:sz w:val="20"/>
                <w:szCs w:val="20"/>
                <w:lang w:eastAsia="it-IT"/>
                <w14:ligatures w14:val="none"/>
              </w:rPr>
            </w:pPr>
          </w:p>
        </w:tc>
        <w:tc>
          <w:tcPr>
            <w:tcW w:w="879" w:type="pct"/>
            <w:shd w:val="clear" w:color="auto" w:fill="auto"/>
            <w:noWrap/>
            <w:vAlign w:val="bottom"/>
            <w:hideMark/>
          </w:tcPr>
          <w:p w14:paraId="081F42D8" w14:textId="77777777" w:rsidR="00646B5C" w:rsidRPr="00B47608" w:rsidRDefault="00646B5C" w:rsidP="00ED2A57">
            <w:pPr>
              <w:spacing w:after="0" w:line="240" w:lineRule="auto"/>
              <w:jc w:val="center"/>
              <w:rPr>
                <w:rFonts w:eastAsia="Times New Roman" w:cs="Times New Roman"/>
                <w:kern w:val="0"/>
                <w:sz w:val="20"/>
                <w:szCs w:val="20"/>
                <w:lang w:eastAsia="it-IT"/>
                <w14:ligatures w14:val="none"/>
              </w:rPr>
            </w:pPr>
          </w:p>
        </w:tc>
        <w:tc>
          <w:tcPr>
            <w:tcW w:w="879" w:type="pct"/>
            <w:shd w:val="clear" w:color="auto" w:fill="auto"/>
            <w:noWrap/>
            <w:vAlign w:val="bottom"/>
            <w:hideMark/>
          </w:tcPr>
          <w:p w14:paraId="32540B0C" w14:textId="77777777" w:rsidR="00646B5C" w:rsidRPr="00B47608" w:rsidRDefault="00646B5C" w:rsidP="00ED2A57">
            <w:pPr>
              <w:spacing w:after="0" w:line="240" w:lineRule="auto"/>
              <w:jc w:val="center"/>
              <w:rPr>
                <w:rFonts w:eastAsia="Times New Roman" w:cs="Times New Roman"/>
                <w:kern w:val="0"/>
                <w:sz w:val="20"/>
                <w:szCs w:val="20"/>
                <w:lang w:eastAsia="it-IT"/>
                <w14:ligatures w14:val="none"/>
              </w:rPr>
            </w:pPr>
          </w:p>
        </w:tc>
      </w:tr>
      <w:tr w:rsidR="00646B5C" w:rsidRPr="00B47608" w14:paraId="20C8BB2F" w14:textId="77777777" w:rsidTr="00037B27">
        <w:trPr>
          <w:trHeight w:val="312"/>
        </w:trPr>
        <w:tc>
          <w:tcPr>
            <w:tcW w:w="1484" w:type="pct"/>
            <w:shd w:val="clear" w:color="auto" w:fill="auto"/>
            <w:noWrap/>
            <w:vAlign w:val="bottom"/>
            <w:hideMark/>
          </w:tcPr>
          <w:p w14:paraId="5EE4A131" w14:textId="77777777" w:rsidR="00646B5C" w:rsidRPr="00B47608" w:rsidRDefault="00646B5C"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Meno di 50</w:t>
            </w:r>
          </w:p>
        </w:tc>
        <w:tc>
          <w:tcPr>
            <w:tcW w:w="879" w:type="pct"/>
            <w:shd w:val="clear" w:color="auto" w:fill="auto"/>
            <w:noWrap/>
            <w:vAlign w:val="bottom"/>
            <w:hideMark/>
          </w:tcPr>
          <w:p w14:paraId="0408C4E6" w14:textId="3B9844EE" w:rsidR="00646B5C" w:rsidRPr="00B47608" w:rsidRDefault="00646B5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57,3</w:t>
            </w:r>
          </w:p>
        </w:tc>
        <w:tc>
          <w:tcPr>
            <w:tcW w:w="879" w:type="pct"/>
            <w:shd w:val="clear" w:color="auto" w:fill="auto"/>
            <w:noWrap/>
            <w:vAlign w:val="bottom"/>
            <w:hideMark/>
          </w:tcPr>
          <w:p w14:paraId="5F7654D7" w14:textId="5B994124" w:rsidR="00646B5C" w:rsidRPr="00B47608" w:rsidRDefault="00646B5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41,2</w:t>
            </w:r>
          </w:p>
        </w:tc>
        <w:tc>
          <w:tcPr>
            <w:tcW w:w="879" w:type="pct"/>
            <w:shd w:val="clear" w:color="auto" w:fill="auto"/>
            <w:noWrap/>
            <w:vAlign w:val="bottom"/>
            <w:hideMark/>
          </w:tcPr>
          <w:p w14:paraId="59A1992A" w14:textId="2164E463" w:rsidR="00646B5C" w:rsidRPr="00B47608" w:rsidRDefault="00646B5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1,5</w:t>
            </w:r>
          </w:p>
        </w:tc>
        <w:tc>
          <w:tcPr>
            <w:tcW w:w="879" w:type="pct"/>
            <w:shd w:val="clear" w:color="auto" w:fill="auto"/>
            <w:noWrap/>
            <w:vAlign w:val="bottom"/>
            <w:hideMark/>
          </w:tcPr>
          <w:p w14:paraId="277DD107" w14:textId="26CA7C4B" w:rsidR="00646B5C" w:rsidRPr="00B47608" w:rsidRDefault="00646B5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w:t>
            </w:r>
          </w:p>
        </w:tc>
      </w:tr>
      <w:tr w:rsidR="00646B5C" w:rsidRPr="00B47608" w14:paraId="29EADAEE" w14:textId="77777777" w:rsidTr="00037B27">
        <w:trPr>
          <w:trHeight w:val="312"/>
        </w:trPr>
        <w:tc>
          <w:tcPr>
            <w:tcW w:w="1484" w:type="pct"/>
            <w:shd w:val="clear" w:color="auto" w:fill="auto"/>
            <w:noWrap/>
            <w:vAlign w:val="bottom"/>
            <w:hideMark/>
          </w:tcPr>
          <w:p w14:paraId="4FC1B20C" w14:textId="77777777" w:rsidR="00646B5C" w:rsidRPr="00B47608" w:rsidRDefault="00646B5C"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50 e più</w:t>
            </w:r>
          </w:p>
        </w:tc>
        <w:tc>
          <w:tcPr>
            <w:tcW w:w="879" w:type="pct"/>
            <w:shd w:val="clear" w:color="auto" w:fill="auto"/>
            <w:noWrap/>
            <w:vAlign w:val="bottom"/>
            <w:hideMark/>
          </w:tcPr>
          <w:p w14:paraId="54D84422" w14:textId="5CCB7507" w:rsidR="00646B5C" w:rsidRPr="00B47608" w:rsidRDefault="00646B5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69,3</w:t>
            </w:r>
          </w:p>
        </w:tc>
        <w:tc>
          <w:tcPr>
            <w:tcW w:w="879" w:type="pct"/>
            <w:shd w:val="clear" w:color="auto" w:fill="auto"/>
            <w:noWrap/>
            <w:vAlign w:val="bottom"/>
            <w:hideMark/>
          </w:tcPr>
          <w:p w14:paraId="07BABB06" w14:textId="0455861B" w:rsidR="00646B5C" w:rsidRPr="00B47608" w:rsidRDefault="00646B5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27,3</w:t>
            </w:r>
          </w:p>
        </w:tc>
        <w:tc>
          <w:tcPr>
            <w:tcW w:w="879" w:type="pct"/>
            <w:shd w:val="clear" w:color="auto" w:fill="auto"/>
            <w:noWrap/>
            <w:vAlign w:val="bottom"/>
            <w:hideMark/>
          </w:tcPr>
          <w:p w14:paraId="21A59386" w14:textId="60067740" w:rsidR="00646B5C" w:rsidRPr="00B47608" w:rsidRDefault="00646B5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3,4</w:t>
            </w:r>
          </w:p>
        </w:tc>
        <w:tc>
          <w:tcPr>
            <w:tcW w:w="879" w:type="pct"/>
            <w:shd w:val="clear" w:color="auto" w:fill="auto"/>
            <w:noWrap/>
            <w:vAlign w:val="bottom"/>
            <w:hideMark/>
          </w:tcPr>
          <w:p w14:paraId="681933F3" w14:textId="7985F9E8" w:rsidR="00646B5C" w:rsidRPr="00B47608" w:rsidRDefault="00646B5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w:t>
            </w:r>
          </w:p>
        </w:tc>
      </w:tr>
    </w:tbl>
    <w:p w14:paraId="12DBFDD9" w14:textId="77777777" w:rsidR="00646B5C" w:rsidRPr="00B47608" w:rsidRDefault="00646B5C" w:rsidP="00ED2A57">
      <w:pPr>
        <w:spacing w:after="0"/>
      </w:pPr>
      <w:r w:rsidRPr="00B47608">
        <w:t>Fonte: Fondazione Nord Est (463 casi)</w:t>
      </w:r>
    </w:p>
    <w:p w14:paraId="6F53CE8A" w14:textId="77777777" w:rsidR="00464CEC" w:rsidRPr="00B47608" w:rsidRDefault="00464CEC" w:rsidP="00ED2A57">
      <w:pPr>
        <w:spacing w:after="0"/>
      </w:pPr>
    </w:p>
    <w:p w14:paraId="0AF45AC2" w14:textId="1675A1DC" w:rsidR="006D4819" w:rsidRPr="00B47608" w:rsidRDefault="00E46135" w:rsidP="00ED2A57">
      <w:pPr>
        <w:spacing w:after="0"/>
        <w:jc w:val="both"/>
      </w:pPr>
      <w:r w:rsidRPr="00B47608">
        <w:t>È</w:t>
      </w:r>
      <w:r w:rsidR="006D4819" w:rsidRPr="00B47608">
        <w:t xml:space="preserve"> possibile classificare le imprese che intrattengono relazioni commerciali con la Germania </w:t>
      </w:r>
      <w:r w:rsidR="00BD2AA0" w:rsidRPr="00B47608">
        <w:t xml:space="preserve">utilizzando l’intensità delle esportazioni rispetto al fatturato totale. </w:t>
      </w:r>
      <w:r w:rsidR="00935DC9" w:rsidRPr="00B47608">
        <w:t>Il 61,7% delle imprese che esportano si divide in un primo gruppo di imprese (</w:t>
      </w:r>
      <w:r w:rsidR="00E77886" w:rsidRPr="00B47608">
        <w:t xml:space="preserve">definite </w:t>
      </w:r>
      <w:r w:rsidR="00D03E81" w:rsidRPr="00B47608">
        <w:t>le</w:t>
      </w:r>
      <w:r w:rsidR="00E77886" w:rsidRPr="00B47608">
        <w:t xml:space="preserve"> “Esportatrici” - </w:t>
      </w:r>
      <w:r w:rsidR="00935DC9" w:rsidRPr="00B47608">
        <w:t>41,3% del totale) che esport</w:t>
      </w:r>
      <w:r w:rsidR="00802AF8" w:rsidRPr="00B47608">
        <w:t>a</w:t>
      </w:r>
      <w:r w:rsidR="00D03FFA" w:rsidRPr="00B47608">
        <w:t>no</w:t>
      </w:r>
      <w:r w:rsidR="00802AF8" w:rsidRPr="00B47608">
        <w:t xml:space="preserve"> in Germania una quota inferiore </w:t>
      </w:r>
      <w:r w:rsidR="00CD741F" w:rsidRPr="00B47608">
        <w:t xml:space="preserve">al 10% del fatturato. </w:t>
      </w:r>
      <w:r w:rsidR="00D03E81" w:rsidRPr="00B47608">
        <w:t xml:space="preserve">Le imprese </w:t>
      </w:r>
      <w:r w:rsidR="00D03FFA" w:rsidRPr="00B47608">
        <w:t>per le quali le esportazioni verso la Germania pesano più del 10% del fatturato totale sono state definite le “Esportatrici forti”</w:t>
      </w:r>
      <w:r w:rsidR="003E440F" w:rsidRPr="00B47608">
        <w:t>, rappresentano poco più di un quinto del totale, 20,3%.</w:t>
      </w:r>
    </w:p>
    <w:p w14:paraId="0E96E2C1" w14:textId="77777777" w:rsidR="00E46135" w:rsidRPr="00B47608" w:rsidRDefault="00E46135" w:rsidP="00ED2A57">
      <w:pPr>
        <w:spacing w:after="0"/>
      </w:pPr>
    </w:p>
    <w:p w14:paraId="1E392703" w14:textId="63614577" w:rsidR="00E46135" w:rsidRPr="00B47608" w:rsidRDefault="00EB3288" w:rsidP="00ED2A57">
      <w:pPr>
        <w:spacing w:after="0"/>
        <w:rPr>
          <w:b/>
          <w:bCs/>
        </w:rPr>
      </w:pPr>
      <w:r w:rsidRPr="00B47608">
        <w:rPr>
          <w:b/>
          <w:bCs/>
        </w:rPr>
        <w:t>Tab. 2.2</w:t>
      </w:r>
      <w:r w:rsidR="003E440F" w:rsidRPr="00B47608">
        <w:rPr>
          <w:b/>
          <w:bCs/>
        </w:rPr>
        <w:t xml:space="preserve"> Imprese che esportano in Germania secondo l’intensità di esportazione</w:t>
      </w:r>
      <w:r w:rsidR="00971609" w:rsidRPr="00B47608">
        <w:rPr>
          <w:b/>
          <w:bCs/>
        </w:rPr>
        <w:t xml:space="preserve"> (Val.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84"/>
        <w:gridCol w:w="1509"/>
        <w:gridCol w:w="1509"/>
        <w:gridCol w:w="1508"/>
        <w:gridCol w:w="1508"/>
        <w:gridCol w:w="1510"/>
      </w:tblGrid>
      <w:tr w:rsidR="003E440F" w:rsidRPr="00B47608" w14:paraId="123B440C" w14:textId="77777777" w:rsidTr="00174AD3">
        <w:trPr>
          <w:trHeight w:val="288"/>
        </w:trPr>
        <w:tc>
          <w:tcPr>
            <w:tcW w:w="1082" w:type="pct"/>
            <w:shd w:val="clear" w:color="auto" w:fill="auto"/>
            <w:noWrap/>
            <w:vAlign w:val="center"/>
            <w:hideMark/>
          </w:tcPr>
          <w:p w14:paraId="55479E3D" w14:textId="77777777" w:rsidR="006D4819" w:rsidRPr="00B47608" w:rsidRDefault="006D4819" w:rsidP="00ED2A57">
            <w:pPr>
              <w:spacing w:after="0" w:line="240" w:lineRule="auto"/>
              <w:rPr>
                <w:rFonts w:eastAsia="Times New Roman" w:cs="Times New Roman"/>
                <w:kern w:val="0"/>
                <w:sz w:val="24"/>
                <w:szCs w:val="24"/>
                <w:lang w:eastAsia="it-IT"/>
                <w14:ligatures w14:val="none"/>
              </w:rPr>
            </w:pPr>
          </w:p>
        </w:tc>
        <w:tc>
          <w:tcPr>
            <w:tcW w:w="783" w:type="pct"/>
            <w:shd w:val="clear" w:color="auto" w:fill="auto"/>
            <w:noWrap/>
            <w:vAlign w:val="center"/>
            <w:hideMark/>
          </w:tcPr>
          <w:p w14:paraId="378E6CB1" w14:textId="7E9CF53D" w:rsidR="006D4819" w:rsidRPr="00B47608" w:rsidRDefault="00D03E81"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Non esportatrici</w:t>
            </w:r>
          </w:p>
        </w:tc>
        <w:tc>
          <w:tcPr>
            <w:tcW w:w="783" w:type="pct"/>
            <w:shd w:val="clear" w:color="auto" w:fill="auto"/>
            <w:noWrap/>
            <w:vAlign w:val="center"/>
            <w:hideMark/>
          </w:tcPr>
          <w:p w14:paraId="6DEC96AB" w14:textId="34337591" w:rsidR="006D4819" w:rsidRPr="00B47608" w:rsidRDefault="002A1BEE"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Esportatrici</w:t>
            </w:r>
          </w:p>
        </w:tc>
        <w:tc>
          <w:tcPr>
            <w:tcW w:w="783" w:type="pct"/>
            <w:shd w:val="clear" w:color="auto" w:fill="auto"/>
            <w:noWrap/>
            <w:vAlign w:val="center"/>
            <w:hideMark/>
          </w:tcPr>
          <w:p w14:paraId="285D0C31" w14:textId="4CD1B287" w:rsidR="006D4819" w:rsidRPr="00B47608" w:rsidRDefault="002A1BEE"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Esportatrici forti</w:t>
            </w:r>
          </w:p>
        </w:tc>
        <w:tc>
          <w:tcPr>
            <w:tcW w:w="783" w:type="pct"/>
            <w:shd w:val="clear" w:color="auto" w:fill="auto"/>
            <w:noWrap/>
            <w:vAlign w:val="center"/>
            <w:hideMark/>
          </w:tcPr>
          <w:p w14:paraId="14A98733" w14:textId="77777777" w:rsidR="006D4819" w:rsidRPr="00B47608" w:rsidRDefault="006D4819" w:rsidP="00ED2A57">
            <w:pPr>
              <w:spacing w:after="0" w:line="240" w:lineRule="auto"/>
              <w:jc w:val="center"/>
              <w:rPr>
                <w:rFonts w:eastAsia="Times New Roman" w:cs="Calibri"/>
                <w:b/>
                <w:bCs/>
                <w:color w:val="000000"/>
                <w:kern w:val="0"/>
                <w:lang w:eastAsia="it-IT"/>
                <w14:ligatures w14:val="none"/>
              </w:rPr>
            </w:pPr>
            <w:proofErr w:type="spellStart"/>
            <w:r w:rsidRPr="00B47608">
              <w:rPr>
                <w:rFonts w:eastAsia="Times New Roman" w:cs="Calibri"/>
                <w:b/>
                <w:bCs/>
                <w:color w:val="000000"/>
                <w:kern w:val="0"/>
                <w:lang w:eastAsia="it-IT"/>
                <w14:ligatures w14:val="none"/>
              </w:rPr>
              <w:t>n.r</w:t>
            </w:r>
            <w:proofErr w:type="spellEnd"/>
            <w:r w:rsidRPr="00B47608">
              <w:rPr>
                <w:rFonts w:eastAsia="Times New Roman" w:cs="Calibri"/>
                <w:b/>
                <w:bCs/>
                <w:color w:val="000000"/>
                <w:kern w:val="0"/>
                <w:lang w:eastAsia="it-IT"/>
                <w14:ligatures w14:val="none"/>
              </w:rPr>
              <w:t>.</w:t>
            </w:r>
          </w:p>
        </w:tc>
        <w:tc>
          <w:tcPr>
            <w:tcW w:w="784" w:type="pct"/>
            <w:shd w:val="clear" w:color="auto" w:fill="auto"/>
            <w:noWrap/>
            <w:vAlign w:val="center"/>
            <w:hideMark/>
          </w:tcPr>
          <w:p w14:paraId="46B4695F" w14:textId="6CFEACFE" w:rsidR="006D4819" w:rsidRPr="00B47608" w:rsidRDefault="006D4819"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 xml:space="preserve">Totale </w:t>
            </w:r>
          </w:p>
        </w:tc>
      </w:tr>
      <w:tr w:rsidR="003E440F" w:rsidRPr="00B47608" w14:paraId="3A372CDF" w14:textId="77777777" w:rsidTr="00037B27">
        <w:trPr>
          <w:trHeight w:val="312"/>
        </w:trPr>
        <w:tc>
          <w:tcPr>
            <w:tcW w:w="1082" w:type="pct"/>
            <w:shd w:val="clear" w:color="auto" w:fill="auto"/>
            <w:noWrap/>
            <w:vAlign w:val="bottom"/>
            <w:hideMark/>
          </w:tcPr>
          <w:p w14:paraId="06AE2E5F" w14:textId="77777777" w:rsidR="006D4819" w:rsidRPr="00B47608" w:rsidRDefault="006D4819" w:rsidP="00ED2A57">
            <w:pPr>
              <w:spacing w:after="0" w:line="240" w:lineRule="auto"/>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Tutti</w:t>
            </w:r>
          </w:p>
        </w:tc>
        <w:tc>
          <w:tcPr>
            <w:tcW w:w="783" w:type="pct"/>
            <w:shd w:val="clear" w:color="auto" w:fill="auto"/>
            <w:noWrap/>
            <w:vAlign w:val="bottom"/>
            <w:hideMark/>
          </w:tcPr>
          <w:p w14:paraId="633593DA" w14:textId="3C67780D" w:rsidR="006D4819" w:rsidRPr="00B47608" w:rsidRDefault="006D4819"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36,2</w:t>
            </w:r>
          </w:p>
        </w:tc>
        <w:tc>
          <w:tcPr>
            <w:tcW w:w="783" w:type="pct"/>
            <w:shd w:val="clear" w:color="auto" w:fill="auto"/>
            <w:noWrap/>
            <w:vAlign w:val="bottom"/>
            <w:hideMark/>
          </w:tcPr>
          <w:p w14:paraId="19760BE2" w14:textId="68755F2A" w:rsidR="006D4819" w:rsidRPr="00B47608" w:rsidRDefault="006D4819"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41,3</w:t>
            </w:r>
          </w:p>
        </w:tc>
        <w:tc>
          <w:tcPr>
            <w:tcW w:w="783" w:type="pct"/>
            <w:shd w:val="clear" w:color="auto" w:fill="auto"/>
            <w:noWrap/>
            <w:vAlign w:val="bottom"/>
            <w:hideMark/>
          </w:tcPr>
          <w:p w14:paraId="60B28FFA" w14:textId="79D0C34B" w:rsidR="006D4819" w:rsidRPr="00B47608" w:rsidRDefault="006D4819"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20,3</w:t>
            </w:r>
          </w:p>
        </w:tc>
        <w:tc>
          <w:tcPr>
            <w:tcW w:w="783" w:type="pct"/>
            <w:shd w:val="clear" w:color="auto" w:fill="auto"/>
            <w:noWrap/>
            <w:vAlign w:val="bottom"/>
            <w:hideMark/>
          </w:tcPr>
          <w:p w14:paraId="3D4A5079" w14:textId="58E109CF" w:rsidR="006D4819" w:rsidRPr="00B47608" w:rsidRDefault="006D4819"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2,2</w:t>
            </w:r>
          </w:p>
        </w:tc>
        <w:tc>
          <w:tcPr>
            <w:tcW w:w="784" w:type="pct"/>
            <w:shd w:val="clear" w:color="auto" w:fill="auto"/>
            <w:noWrap/>
            <w:vAlign w:val="bottom"/>
            <w:hideMark/>
          </w:tcPr>
          <w:p w14:paraId="66FE05F3" w14:textId="7799A968" w:rsidR="006D4819" w:rsidRPr="00B47608" w:rsidRDefault="006D4819"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100</w:t>
            </w:r>
          </w:p>
        </w:tc>
      </w:tr>
      <w:tr w:rsidR="003E440F" w:rsidRPr="00B47608" w14:paraId="7CA3FA3A" w14:textId="77777777" w:rsidTr="00037B27">
        <w:trPr>
          <w:trHeight w:val="312"/>
        </w:trPr>
        <w:tc>
          <w:tcPr>
            <w:tcW w:w="1082" w:type="pct"/>
            <w:shd w:val="clear" w:color="auto" w:fill="auto"/>
            <w:noWrap/>
            <w:vAlign w:val="bottom"/>
            <w:hideMark/>
          </w:tcPr>
          <w:p w14:paraId="71C12892" w14:textId="77777777" w:rsidR="006D4819" w:rsidRPr="00B47608" w:rsidRDefault="006D4819" w:rsidP="00ED2A57">
            <w:pPr>
              <w:spacing w:after="0" w:line="240" w:lineRule="auto"/>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Macrosettore</w:t>
            </w:r>
          </w:p>
        </w:tc>
        <w:tc>
          <w:tcPr>
            <w:tcW w:w="783" w:type="pct"/>
            <w:shd w:val="clear" w:color="auto" w:fill="auto"/>
            <w:noWrap/>
            <w:vAlign w:val="bottom"/>
            <w:hideMark/>
          </w:tcPr>
          <w:p w14:paraId="1A3E66C5" w14:textId="77777777" w:rsidR="006D4819" w:rsidRPr="00B47608" w:rsidRDefault="006D4819" w:rsidP="00ED2A57">
            <w:pPr>
              <w:spacing w:after="0" w:line="240" w:lineRule="auto"/>
              <w:jc w:val="center"/>
              <w:rPr>
                <w:rFonts w:eastAsia="Times New Roman" w:cs="Calibri"/>
                <w:b/>
                <w:bCs/>
                <w:color w:val="000000"/>
                <w:kern w:val="0"/>
                <w:lang w:eastAsia="it-IT"/>
                <w14:ligatures w14:val="none"/>
              </w:rPr>
            </w:pPr>
          </w:p>
        </w:tc>
        <w:tc>
          <w:tcPr>
            <w:tcW w:w="783" w:type="pct"/>
            <w:shd w:val="clear" w:color="auto" w:fill="auto"/>
            <w:noWrap/>
            <w:vAlign w:val="bottom"/>
            <w:hideMark/>
          </w:tcPr>
          <w:p w14:paraId="66F9659C" w14:textId="77777777" w:rsidR="006D4819" w:rsidRPr="00B47608" w:rsidRDefault="006D4819" w:rsidP="00ED2A57">
            <w:pPr>
              <w:spacing w:after="0" w:line="240" w:lineRule="auto"/>
              <w:jc w:val="center"/>
              <w:rPr>
                <w:rFonts w:eastAsia="Times New Roman" w:cs="Times New Roman"/>
                <w:kern w:val="0"/>
                <w:sz w:val="20"/>
                <w:szCs w:val="20"/>
                <w:lang w:eastAsia="it-IT"/>
                <w14:ligatures w14:val="none"/>
              </w:rPr>
            </w:pPr>
          </w:p>
        </w:tc>
        <w:tc>
          <w:tcPr>
            <w:tcW w:w="783" w:type="pct"/>
            <w:shd w:val="clear" w:color="auto" w:fill="auto"/>
            <w:noWrap/>
            <w:vAlign w:val="bottom"/>
            <w:hideMark/>
          </w:tcPr>
          <w:p w14:paraId="08BC0DE8" w14:textId="77777777" w:rsidR="006D4819" w:rsidRPr="00B47608" w:rsidRDefault="006D4819" w:rsidP="00ED2A57">
            <w:pPr>
              <w:spacing w:after="0" w:line="240" w:lineRule="auto"/>
              <w:jc w:val="center"/>
              <w:rPr>
                <w:rFonts w:eastAsia="Times New Roman" w:cs="Times New Roman"/>
                <w:kern w:val="0"/>
                <w:sz w:val="20"/>
                <w:szCs w:val="20"/>
                <w:lang w:eastAsia="it-IT"/>
                <w14:ligatures w14:val="none"/>
              </w:rPr>
            </w:pPr>
          </w:p>
        </w:tc>
        <w:tc>
          <w:tcPr>
            <w:tcW w:w="783" w:type="pct"/>
            <w:shd w:val="clear" w:color="auto" w:fill="auto"/>
            <w:noWrap/>
            <w:vAlign w:val="bottom"/>
            <w:hideMark/>
          </w:tcPr>
          <w:p w14:paraId="316E36E7" w14:textId="77777777" w:rsidR="006D4819" w:rsidRPr="00B47608" w:rsidRDefault="006D4819" w:rsidP="00ED2A57">
            <w:pPr>
              <w:spacing w:after="0" w:line="240" w:lineRule="auto"/>
              <w:jc w:val="center"/>
              <w:rPr>
                <w:rFonts w:eastAsia="Times New Roman" w:cs="Times New Roman"/>
                <w:kern w:val="0"/>
                <w:sz w:val="20"/>
                <w:szCs w:val="20"/>
                <w:lang w:eastAsia="it-IT"/>
                <w14:ligatures w14:val="none"/>
              </w:rPr>
            </w:pPr>
          </w:p>
        </w:tc>
        <w:tc>
          <w:tcPr>
            <w:tcW w:w="784" w:type="pct"/>
            <w:shd w:val="clear" w:color="auto" w:fill="auto"/>
            <w:noWrap/>
            <w:vAlign w:val="bottom"/>
            <w:hideMark/>
          </w:tcPr>
          <w:p w14:paraId="6C3D098B" w14:textId="77777777" w:rsidR="006D4819" w:rsidRPr="00B47608" w:rsidRDefault="006D4819" w:rsidP="00ED2A57">
            <w:pPr>
              <w:spacing w:after="0" w:line="240" w:lineRule="auto"/>
              <w:jc w:val="center"/>
              <w:rPr>
                <w:rFonts w:eastAsia="Times New Roman" w:cs="Times New Roman"/>
                <w:kern w:val="0"/>
                <w:sz w:val="20"/>
                <w:szCs w:val="20"/>
                <w:lang w:eastAsia="it-IT"/>
                <w14:ligatures w14:val="none"/>
              </w:rPr>
            </w:pPr>
          </w:p>
        </w:tc>
      </w:tr>
      <w:tr w:rsidR="003E440F" w:rsidRPr="00B47608" w14:paraId="5997D585" w14:textId="77777777" w:rsidTr="00037B27">
        <w:trPr>
          <w:trHeight w:val="312"/>
        </w:trPr>
        <w:tc>
          <w:tcPr>
            <w:tcW w:w="1082" w:type="pct"/>
            <w:shd w:val="clear" w:color="auto" w:fill="auto"/>
            <w:noWrap/>
            <w:vAlign w:val="bottom"/>
            <w:hideMark/>
          </w:tcPr>
          <w:p w14:paraId="39C37017" w14:textId="77777777" w:rsidR="006D4819" w:rsidRPr="00B47608" w:rsidRDefault="006D4819"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Altri settori</w:t>
            </w:r>
          </w:p>
        </w:tc>
        <w:tc>
          <w:tcPr>
            <w:tcW w:w="783" w:type="pct"/>
            <w:shd w:val="clear" w:color="auto" w:fill="auto"/>
            <w:noWrap/>
            <w:vAlign w:val="bottom"/>
            <w:hideMark/>
          </w:tcPr>
          <w:p w14:paraId="19B00749" w14:textId="2067A591" w:rsidR="006D4819" w:rsidRPr="00B47608" w:rsidRDefault="006D4819"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42,4</w:t>
            </w:r>
          </w:p>
        </w:tc>
        <w:tc>
          <w:tcPr>
            <w:tcW w:w="783" w:type="pct"/>
            <w:shd w:val="clear" w:color="auto" w:fill="auto"/>
            <w:noWrap/>
            <w:vAlign w:val="bottom"/>
            <w:hideMark/>
          </w:tcPr>
          <w:p w14:paraId="111448B3" w14:textId="434766F2" w:rsidR="006D4819" w:rsidRPr="00B47608" w:rsidRDefault="006D4819"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38,8</w:t>
            </w:r>
          </w:p>
        </w:tc>
        <w:tc>
          <w:tcPr>
            <w:tcW w:w="783" w:type="pct"/>
            <w:shd w:val="clear" w:color="auto" w:fill="auto"/>
            <w:noWrap/>
            <w:vAlign w:val="bottom"/>
            <w:hideMark/>
          </w:tcPr>
          <w:p w14:paraId="5235B1F3" w14:textId="25451F64" w:rsidR="006D4819" w:rsidRPr="00B47608" w:rsidRDefault="006D4819"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15,9</w:t>
            </w:r>
          </w:p>
        </w:tc>
        <w:tc>
          <w:tcPr>
            <w:tcW w:w="783" w:type="pct"/>
            <w:shd w:val="clear" w:color="auto" w:fill="auto"/>
            <w:noWrap/>
            <w:vAlign w:val="bottom"/>
            <w:hideMark/>
          </w:tcPr>
          <w:p w14:paraId="70F89695" w14:textId="67D2121F" w:rsidR="006D4819" w:rsidRPr="00B47608" w:rsidRDefault="006D4819"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2,8</w:t>
            </w:r>
          </w:p>
        </w:tc>
        <w:tc>
          <w:tcPr>
            <w:tcW w:w="784" w:type="pct"/>
            <w:shd w:val="clear" w:color="auto" w:fill="auto"/>
            <w:noWrap/>
            <w:vAlign w:val="bottom"/>
            <w:hideMark/>
          </w:tcPr>
          <w:p w14:paraId="0BB5D422" w14:textId="203D8867" w:rsidR="006D4819" w:rsidRPr="00B47608" w:rsidRDefault="006D4819"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w:t>
            </w:r>
          </w:p>
        </w:tc>
      </w:tr>
      <w:tr w:rsidR="003E440F" w:rsidRPr="00B47608" w14:paraId="332DFBF4" w14:textId="77777777" w:rsidTr="00037B27">
        <w:trPr>
          <w:trHeight w:val="312"/>
        </w:trPr>
        <w:tc>
          <w:tcPr>
            <w:tcW w:w="1082" w:type="pct"/>
            <w:shd w:val="clear" w:color="auto" w:fill="auto"/>
            <w:noWrap/>
            <w:vAlign w:val="bottom"/>
            <w:hideMark/>
          </w:tcPr>
          <w:p w14:paraId="30E73FDC" w14:textId="77777777" w:rsidR="006D4819" w:rsidRPr="00B47608" w:rsidRDefault="006D4819"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Metalmeccanica</w:t>
            </w:r>
          </w:p>
        </w:tc>
        <w:tc>
          <w:tcPr>
            <w:tcW w:w="783" w:type="pct"/>
            <w:shd w:val="clear" w:color="auto" w:fill="auto"/>
            <w:noWrap/>
            <w:vAlign w:val="bottom"/>
            <w:hideMark/>
          </w:tcPr>
          <w:p w14:paraId="3289AE05" w14:textId="16992CEB" w:rsidR="006D4819" w:rsidRPr="00B47608" w:rsidRDefault="006D4819"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27,2</w:t>
            </w:r>
          </w:p>
        </w:tc>
        <w:tc>
          <w:tcPr>
            <w:tcW w:w="783" w:type="pct"/>
            <w:shd w:val="clear" w:color="auto" w:fill="auto"/>
            <w:noWrap/>
            <w:vAlign w:val="bottom"/>
            <w:hideMark/>
          </w:tcPr>
          <w:p w14:paraId="66E5BA26" w14:textId="0D5CDE62" w:rsidR="006D4819" w:rsidRPr="00B47608" w:rsidRDefault="006D4819"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45,0</w:t>
            </w:r>
          </w:p>
        </w:tc>
        <w:tc>
          <w:tcPr>
            <w:tcW w:w="783" w:type="pct"/>
            <w:shd w:val="clear" w:color="auto" w:fill="auto"/>
            <w:noWrap/>
            <w:vAlign w:val="bottom"/>
            <w:hideMark/>
          </w:tcPr>
          <w:p w14:paraId="162336D3" w14:textId="3ECC1E9F" w:rsidR="006D4819" w:rsidRPr="00B47608" w:rsidRDefault="006D4819"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26,6</w:t>
            </w:r>
          </w:p>
        </w:tc>
        <w:tc>
          <w:tcPr>
            <w:tcW w:w="783" w:type="pct"/>
            <w:shd w:val="clear" w:color="auto" w:fill="auto"/>
            <w:noWrap/>
            <w:vAlign w:val="bottom"/>
            <w:hideMark/>
          </w:tcPr>
          <w:p w14:paraId="5FFAE928" w14:textId="37BF80C2" w:rsidR="006D4819" w:rsidRPr="00B47608" w:rsidRDefault="006D4819"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1,3</w:t>
            </w:r>
          </w:p>
        </w:tc>
        <w:tc>
          <w:tcPr>
            <w:tcW w:w="784" w:type="pct"/>
            <w:shd w:val="clear" w:color="auto" w:fill="auto"/>
            <w:noWrap/>
            <w:vAlign w:val="bottom"/>
            <w:hideMark/>
          </w:tcPr>
          <w:p w14:paraId="37CF9FB0" w14:textId="5B053881" w:rsidR="006D4819" w:rsidRPr="00B47608" w:rsidRDefault="006D4819"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w:t>
            </w:r>
          </w:p>
        </w:tc>
      </w:tr>
      <w:tr w:rsidR="003E440F" w:rsidRPr="00B47608" w14:paraId="468AE493" w14:textId="77777777" w:rsidTr="00037B27">
        <w:trPr>
          <w:trHeight w:val="312"/>
        </w:trPr>
        <w:tc>
          <w:tcPr>
            <w:tcW w:w="1082" w:type="pct"/>
            <w:shd w:val="clear" w:color="auto" w:fill="auto"/>
            <w:noWrap/>
            <w:vAlign w:val="bottom"/>
            <w:hideMark/>
          </w:tcPr>
          <w:p w14:paraId="06279164" w14:textId="77777777" w:rsidR="006D4819" w:rsidRPr="00B47608" w:rsidRDefault="006D4819" w:rsidP="00ED2A57">
            <w:pPr>
              <w:spacing w:after="0" w:line="240" w:lineRule="auto"/>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Dimensioni</w:t>
            </w:r>
          </w:p>
        </w:tc>
        <w:tc>
          <w:tcPr>
            <w:tcW w:w="783" w:type="pct"/>
            <w:shd w:val="clear" w:color="auto" w:fill="auto"/>
            <w:noWrap/>
            <w:vAlign w:val="bottom"/>
            <w:hideMark/>
          </w:tcPr>
          <w:p w14:paraId="37016353" w14:textId="77777777" w:rsidR="006D4819" w:rsidRPr="00B47608" w:rsidRDefault="006D4819" w:rsidP="00ED2A57">
            <w:pPr>
              <w:spacing w:after="0" w:line="240" w:lineRule="auto"/>
              <w:jc w:val="center"/>
              <w:rPr>
                <w:rFonts w:eastAsia="Times New Roman" w:cs="Calibri"/>
                <w:b/>
                <w:bCs/>
                <w:color w:val="000000"/>
                <w:kern w:val="0"/>
                <w:lang w:eastAsia="it-IT"/>
                <w14:ligatures w14:val="none"/>
              </w:rPr>
            </w:pPr>
          </w:p>
        </w:tc>
        <w:tc>
          <w:tcPr>
            <w:tcW w:w="783" w:type="pct"/>
            <w:shd w:val="clear" w:color="auto" w:fill="auto"/>
            <w:noWrap/>
            <w:vAlign w:val="bottom"/>
            <w:hideMark/>
          </w:tcPr>
          <w:p w14:paraId="4B4C3142" w14:textId="77777777" w:rsidR="006D4819" w:rsidRPr="00B47608" w:rsidRDefault="006D4819" w:rsidP="00ED2A57">
            <w:pPr>
              <w:spacing w:after="0" w:line="240" w:lineRule="auto"/>
              <w:jc w:val="center"/>
              <w:rPr>
                <w:rFonts w:eastAsia="Times New Roman" w:cs="Times New Roman"/>
                <w:kern w:val="0"/>
                <w:sz w:val="20"/>
                <w:szCs w:val="20"/>
                <w:lang w:eastAsia="it-IT"/>
                <w14:ligatures w14:val="none"/>
              </w:rPr>
            </w:pPr>
          </w:p>
        </w:tc>
        <w:tc>
          <w:tcPr>
            <w:tcW w:w="783" w:type="pct"/>
            <w:shd w:val="clear" w:color="auto" w:fill="auto"/>
            <w:noWrap/>
            <w:vAlign w:val="bottom"/>
            <w:hideMark/>
          </w:tcPr>
          <w:p w14:paraId="450A7D1B" w14:textId="77777777" w:rsidR="006D4819" w:rsidRPr="00B47608" w:rsidRDefault="006D4819" w:rsidP="00ED2A57">
            <w:pPr>
              <w:spacing w:after="0" w:line="240" w:lineRule="auto"/>
              <w:jc w:val="center"/>
              <w:rPr>
                <w:rFonts w:eastAsia="Times New Roman" w:cs="Times New Roman"/>
                <w:kern w:val="0"/>
                <w:sz w:val="20"/>
                <w:szCs w:val="20"/>
                <w:lang w:eastAsia="it-IT"/>
                <w14:ligatures w14:val="none"/>
              </w:rPr>
            </w:pPr>
          </w:p>
        </w:tc>
        <w:tc>
          <w:tcPr>
            <w:tcW w:w="783" w:type="pct"/>
            <w:shd w:val="clear" w:color="auto" w:fill="auto"/>
            <w:noWrap/>
            <w:vAlign w:val="bottom"/>
            <w:hideMark/>
          </w:tcPr>
          <w:p w14:paraId="3E6E3D44" w14:textId="77777777" w:rsidR="006D4819" w:rsidRPr="00B47608" w:rsidRDefault="006D4819" w:rsidP="00ED2A57">
            <w:pPr>
              <w:spacing w:after="0" w:line="240" w:lineRule="auto"/>
              <w:jc w:val="center"/>
              <w:rPr>
                <w:rFonts w:eastAsia="Times New Roman" w:cs="Times New Roman"/>
                <w:kern w:val="0"/>
                <w:sz w:val="20"/>
                <w:szCs w:val="20"/>
                <w:lang w:eastAsia="it-IT"/>
                <w14:ligatures w14:val="none"/>
              </w:rPr>
            </w:pPr>
          </w:p>
        </w:tc>
        <w:tc>
          <w:tcPr>
            <w:tcW w:w="784" w:type="pct"/>
            <w:shd w:val="clear" w:color="auto" w:fill="auto"/>
            <w:noWrap/>
            <w:vAlign w:val="bottom"/>
            <w:hideMark/>
          </w:tcPr>
          <w:p w14:paraId="263125FB" w14:textId="77777777" w:rsidR="006D4819" w:rsidRPr="00B47608" w:rsidRDefault="006D4819" w:rsidP="00ED2A57">
            <w:pPr>
              <w:spacing w:after="0" w:line="240" w:lineRule="auto"/>
              <w:jc w:val="center"/>
              <w:rPr>
                <w:rFonts w:eastAsia="Times New Roman" w:cs="Times New Roman"/>
                <w:kern w:val="0"/>
                <w:sz w:val="20"/>
                <w:szCs w:val="20"/>
                <w:lang w:eastAsia="it-IT"/>
                <w14:ligatures w14:val="none"/>
              </w:rPr>
            </w:pPr>
          </w:p>
        </w:tc>
      </w:tr>
      <w:tr w:rsidR="003E440F" w:rsidRPr="00B47608" w14:paraId="7D1DFD6F" w14:textId="77777777" w:rsidTr="00037B27">
        <w:trPr>
          <w:trHeight w:val="312"/>
        </w:trPr>
        <w:tc>
          <w:tcPr>
            <w:tcW w:w="1082" w:type="pct"/>
            <w:shd w:val="clear" w:color="auto" w:fill="auto"/>
            <w:noWrap/>
            <w:vAlign w:val="bottom"/>
            <w:hideMark/>
          </w:tcPr>
          <w:p w14:paraId="596FC5CD" w14:textId="77777777" w:rsidR="006D4819" w:rsidRPr="00B47608" w:rsidRDefault="006D4819"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Meno di 50</w:t>
            </w:r>
          </w:p>
        </w:tc>
        <w:tc>
          <w:tcPr>
            <w:tcW w:w="783" w:type="pct"/>
            <w:shd w:val="clear" w:color="auto" w:fill="auto"/>
            <w:noWrap/>
            <w:vAlign w:val="bottom"/>
            <w:hideMark/>
          </w:tcPr>
          <w:p w14:paraId="3004209E" w14:textId="56EFAB5A" w:rsidR="006D4819" w:rsidRPr="00B47608" w:rsidRDefault="006D4819"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41,2</w:t>
            </w:r>
          </w:p>
        </w:tc>
        <w:tc>
          <w:tcPr>
            <w:tcW w:w="783" w:type="pct"/>
            <w:shd w:val="clear" w:color="auto" w:fill="auto"/>
            <w:noWrap/>
            <w:vAlign w:val="bottom"/>
            <w:hideMark/>
          </w:tcPr>
          <w:p w14:paraId="29640A64" w14:textId="438D6DAB" w:rsidR="006D4819" w:rsidRPr="00B47608" w:rsidRDefault="006D4819"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38,3</w:t>
            </w:r>
          </w:p>
        </w:tc>
        <w:tc>
          <w:tcPr>
            <w:tcW w:w="783" w:type="pct"/>
            <w:shd w:val="clear" w:color="auto" w:fill="auto"/>
            <w:noWrap/>
            <w:vAlign w:val="bottom"/>
            <w:hideMark/>
          </w:tcPr>
          <w:p w14:paraId="7DEF729E" w14:textId="23B50806" w:rsidR="006D4819" w:rsidRPr="00B47608" w:rsidRDefault="006D4819"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19,0</w:t>
            </w:r>
          </w:p>
        </w:tc>
        <w:tc>
          <w:tcPr>
            <w:tcW w:w="783" w:type="pct"/>
            <w:shd w:val="clear" w:color="auto" w:fill="auto"/>
            <w:noWrap/>
            <w:vAlign w:val="bottom"/>
            <w:hideMark/>
          </w:tcPr>
          <w:p w14:paraId="660D24DC" w14:textId="73018BEB" w:rsidR="006D4819" w:rsidRPr="00B47608" w:rsidRDefault="006D4819"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1,5</w:t>
            </w:r>
          </w:p>
        </w:tc>
        <w:tc>
          <w:tcPr>
            <w:tcW w:w="784" w:type="pct"/>
            <w:shd w:val="clear" w:color="auto" w:fill="auto"/>
            <w:noWrap/>
            <w:vAlign w:val="bottom"/>
            <w:hideMark/>
          </w:tcPr>
          <w:p w14:paraId="214C09BB" w14:textId="56F22F7E" w:rsidR="006D4819" w:rsidRPr="00B47608" w:rsidRDefault="006D4819"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w:t>
            </w:r>
          </w:p>
        </w:tc>
      </w:tr>
      <w:tr w:rsidR="003E440F" w:rsidRPr="00B47608" w14:paraId="54D36C60" w14:textId="77777777" w:rsidTr="00037B27">
        <w:trPr>
          <w:trHeight w:val="312"/>
        </w:trPr>
        <w:tc>
          <w:tcPr>
            <w:tcW w:w="1082" w:type="pct"/>
            <w:shd w:val="clear" w:color="auto" w:fill="auto"/>
            <w:noWrap/>
            <w:vAlign w:val="bottom"/>
            <w:hideMark/>
          </w:tcPr>
          <w:p w14:paraId="02907580" w14:textId="77777777" w:rsidR="006D4819" w:rsidRPr="00B47608" w:rsidRDefault="006D4819"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50 e più</w:t>
            </w:r>
          </w:p>
        </w:tc>
        <w:tc>
          <w:tcPr>
            <w:tcW w:w="783" w:type="pct"/>
            <w:shd w:val="clear" w:color="auto" w:fill="auto"/>
            <w:noWrap/>
            <w:vAlign w:val="bottom"/>
            <w:hideMark/>
          </w:tcPr>
          <w:p w14:paraId="7AF871CF" w14:textId="46C30CE0" w:rsidR="006D4819" w:rsidRPr="00B47608" w:rsidRDefault="006D4819"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27,3</w:t>
            </w:r>
          </w:p>
        </w:tc>
        <w:tc>
          <w:tcPr>
            <w:tcW w:w="783" w:type="pct"/>
            <w:shd w:val="clear" w:color="auto" w:fill="auto"/>
            <w:noWrap/>
            <w:vAlign w:val="bottom"/>
            <w:hideMark/>
          </w:tcPr>
          <w:p w14:paraId="283308E4" w14:textId="43D1CF88" w:rsidR="006D4819" w:rsidRPr="00B47608" w:rsidRDefault="006D4819"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46,6</w:t>
            </w:r>
          </w:p>
        </w:tc>
        <w:tc>
          <w:tcPr>
            <w:tcW w:w="783" w:type="pct"/>
            <w:shd w:val="clear" w:color="auto" w:fill="auto"/>
            <w:noWrap/>
            <w:vAlign w:val="bottom"/>
            <w:hideMark/>
          </w:tcPr>
          <w:p w14:paraId="48E8D298" w14:textId="63136C4C" w:rsidR="006D4819" w:rsidRPr="00B47608" w:rsidRDefault="006D4819"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22,7</w:t>
            </w:r>
          </w:p>
        </w:tc>
        <w:tc>
          <w:tcPr>
            <w:tcW w:w="783" w:type="pct"/>
            <w:shd w:val="clear" w:color="auto" w:fill="auto"/>
            <w:noWrap/>
            <w:vAlign w:val="bottom"/>
            <w:hideMark/>
          </w:tcPr>
          <w:p w14:paraId="26E3DACD" w14:textId="7B2E7BEB" w:rsidR="006D4819" w:rsidRPr="00B47608" w:rsidRDefault="006D4819"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3,4</w:t>
            </w:r>
          </w:p>
        </w:tc>
        <w:tc>
          <w:tcPr>
            <w:tcW w:w="784" w:type="pct"/>
            <w:shd w:val="clear" w:color="auto" w:fill="auto"/>
            <w:noWrap/>
            <w:vAlign w:val="bottom"/>
            <w:hideMark/>
          </w:tcPr>
          <w:p w14:paraId="0E4DAC30" w14:textId="4D80AC1F" w:rsidR="006D4819" w:rsidRPr="00B47608" w:rsidRDefault="006D4819"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w:t>
            </w:r>
          </w:p>
        </w:tc>
      </w:tr>
    </w:tbl>
    <w:p w14:paraId="5D92489A" w14:textId="77777777" w:rsidR="003E440F" w:rsidRPr="00B47608" w:rsidRDefault="003E440F" w:rsidP="00ED2A57">
      <w:pPr>
        <w:spacing w:after="0"/>
      </w:pPr>
      <w:r w:rsidRPr="00B47608">
        <w:t>Fonte: Fondazione Nord Est (463 casi)</w:t>
      </w:r>
    </w:p>
    <w:p w14:paraId="267092DC" w14:textId="77777777" w:rsidR="006D4819" w:rsidRPr="00B47608" w:rsidRDefault="006D4819" w:rsidP="00ED2A57">
      <w:pPr>
        <w:spacing w:after="0"/>
      </w:pPr>
    </w:p>
    <w:p w14:paraId="2A7181A7" w14:textId="16212747" w:rsidR="00934613" w:rsidRPr="00B47608" w:rsidRDefault="00E61353" w:rsidP="00ED2A57">
      <w:pPr>
        <w:spacing w:after="0"/>
        <w:jc w:val="both"/>
      </w:pPr>
      <w:r w:rsidRPr="00B47608">
        <w:t>I primi 9 mesi del 2024 non sono stati positivi per le esportazioni in Germania. Prevale la stabilità (che segna variazioni comprese tra +/- 3%)</w:t>
      </w:r>
      <w:r w:rsidR="00636AC0" w:rsidRPr="00B47608">
        <w:t xml:space="preserve">, indicata dal 42,7% delle imprese che intrattiene relazioni commerciali con la Germania. </w:t>
      </w:r>
      <w:r w:rsidR="00DA7B1B" w:rsidRPr="00B47608">
        <w:t xml:space="preserve">Il 39,9% dichiara, invece, una diminuzione delle esportazioni. </w:t>
      </w:r>
      <w:r w:rsidR="00021871" w:rsidRPr="00B47608">
        <w:t>A soffrire maggiormente sono le imprese di dimensioni minori, quelle con meno di 50 addetti</w:t>
      </w:r>
      <w:r w:rsidR="00C13B8F" w:rsidRPr="00B47608">
        <w:t xml:space="preserve">, che dichiarano una variazione negativa delle esportazioni di 4 punti percentuali sopra la media. </w:t>
      </w:r>
      <w:r w:rsidR="00F379E7" w:rsidRPr="00B47608">
        <w:t>Tra le</w:t>
      </w:r>
      <w:r w:rsidR="004F1FE3" w:rsidRPr="00B47608">
        <w:t xml:space="preserve"> imprese che hanno visto aumentare le esportazioni (rappresentano il </w:t>
      </w:r>
      <w:r w:rsidR="00F379E7" w:rsidRPr="00B47608">
        <w:t xml:space="preserve">15,4% del totale) sono sovra-rappresentate quelle che </w:t>
      </w:r>
      <w:r w:rsidR="008549BD" w:rsidRPr="00B47608">
        <w:t xml:space="preserve">esportano con maggiore intensità (le esportatrici forti). Tra queste imprese il </w:t>
      </w:r>
      <w:r w:rsidR="00972904" w:rsidRPr="00B47608">
        <w:t xml:space="preserve">22,3% dichiara una variazione positiva delle esportazioni. </w:t>
      </w:r>
    </w:p>
    <w:p w14:paraId="2AD85816" w14:textId="2D52CD35" w:rsidR="00760656" w:rsidRPr="00B47608" w:rsidRDefault="00760656" w:rsidP="00ED2A57">
      <w:pPr>
        <w:spacing w:after="0"/>
        <w:jc w:val="both"/>
      </w:pPr>
      <w:r w:rsidRPr="00B47608">
        <w:t xml:space="preserve">L’andamento è confermato dai dati ufficiali che vedono, nel periodo considerato, una riduzione delle esportazioni totali del Veneto verso la Germania del 6,7%. </w:t>
      </w:r>
    </w:p>
    <w:p w14:paraId="6963B1C3" w14:textId="77777777" w:rsidR="00E61353" w:rsidRPr="00B47608" w:rsidRDefault="00E61353" w:rsidP="00ED2A57">
      <w:pPr>
        <w:spacing w:after="0"/>
      </w:pPr>
    </w:p>
    <w:p w14:paraId="42F41F99" w14:textId="32E521E3" w:rsidR="00D21998" w:rsidRPr="00B47608" w:rsidRDefault="00760656" w:rsidP="00760656">
      <w:pPr>
        <w:spacing w:after="0"/>
        <w:jc w:val="both"/>
        <w:rPr>
          <w:b/>
          <w:bCs/>
        </w:rPr>
      </w:pPr>
      <w:r w:rsidRPr="00B47608">
        <w:rPr>
          <w:b/>
          <w:bCs/>
        </w:rPr>
        <w:lastRenderedPageBreak/>
        <w:t xml:space="preserve">Tab. 2.3 </w:t>
      </w:r>
      <w:r w:rsidR="00D21998" w:rsidRPr="00B47608">
        <w:rPr>
          <w:b/>
          <w:bCs/>
        </w:rPr>
        <w:t>Andamento delle esportazioni verso la Germania nei primi nove mesi del 2024</w:t>
      </w:r>
      <w:r w:rsidR="001526D8" w:rsidRPr="00B47608">
        <w:rPr>
          <w:b/>
          <w:bCs/>
        </w:rPr>
        <w:t xml:space="preserve"> per </w:t>
      </w:r>
      <w:r w:rsidR="005677C4" w:rsidRPr="00B47608">
        <w:rPr>
          <w:b/>
          <w:bCs/>
        </w:rPr>
        <w:t xml:space="preserve">macrosettore, dimensione e </w:t>
      </w:r>
      <w:r w:rsidR="001526D8" w:rsidRPr="00B47608">
        <w:rPr>
          <w:b/>
          <w:bCs/>
        </w:rPr>
        <w:t xml:space="preserve">intensità di esportazione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30"/>
        <w:gridCol w:w="1282"/>
        <w:gridCol w:w="1229"/>
        <w:gridCol w:w="1229"/>
        <w:gridCol w:w="1229"/>
        <w:gridCol w:w="1229"/>
      </w:tblGrid>
      <w:tr w:rsidR="006C6580" w:rsidRPr="006C6580" w14:paraId="7F9312EE" w14:textId="77777777" w:rsidTr="006C6580">
        <w:trPr>
          <w:trHeight w:val="696"/>
        </w:trPr>
        <w:tc>
          <w:tcPr>
            <w:tcW w:w="1781" w:type="pct"/>
            <w:shd w:val="clear" w:color="auto" w:fill="auto"/>
            <w:noWrap/>
            <w:vAlign w:val="bottom"/>
            <w:hideMark/>
          </w:tcPr>
          <w:p w14:paraId="44FB6F9C" w14:textId="77777777" w:rsidR="006C6580" w:rsidRPr="006C6580" w:rsidRDefault="006C6580" w:rsidP="006C6580">
            <w:pPr>
              <w:spacing w:after="0" w:line="240" w:lineRule="auto"/>
              <w:rPr>
                <w:rFonts w:eastAsia="Times New Roman" w:cs="Calibri"/>
                <w:color w:val="000000"/>
                <w:kern w:val="0"/>
                <w:lang w:eastAsia="it-IT"/>
                <w14:ligatures w14:val="none"/>
              </w:rPr>
            </w:pPr>
            <w:r w:rsidRPr="006C6580">
              <w:rPr>
                <w:rFonts w:eastAsia="Times New Roman" w:cs="Calibri"/>
                <w:color w:val="000000"/>
                <w:kern w:val="0"/>
                <w:lang w:eastAsia="it-IT"/>
                <w14:ligatures w14:val="none"/>
              </w:rPr>
              <w:t> </w:t>
            </w:r>
          </w:p>
        </w:tc>
        <w:tc>
          <w:tcPr>
            <w:tcW w:w="666" w:type="pct"/>
            <w:shd w:val="clear" w:color="auto" w:fill="auto"/>
            <w:vAlign w:val="center"/>
            <w:hideMark/>
          </w:tcPr>
          <w:p w14:paraId="7CF58604" w14:textId="77777777" w:rsidR="006C6580" w:rsidRPr="006C6580" w:rsidRDefault="006C6580" w:rsidP="006C6580">
            <w:pPr>
              <w:spacing w:after="0" w:line="240" w:lineRule="auto"/>
              <w:jc w:val="center"/>
              <w:rPr>
                <w:rFonts w:eastAsia="Times New Roman" w:cs="Calibri"/>
                <w:color w:val="000000"/>
                <w:kern w:val="0"/>
                <w:sz w:val="18"/>
                <w:szCs w:val="18"/>
                <w:lang w:eastAsia="it-IT"/>
                <w14:ligatures w14:val="none"/>
              </w:rPr>
            </w:pPr>
            <w:r w:rsidRPr="006C6580">
              <w:rPr>
                <w:rFonts w:eastAsia="Times New Roman" w:cs="Calibri"/>
                <w:color w:val="000000"/>
                <w:kern w:val="0"/>
                <w:sz w:val="18"/>
                <w:szCs w:val="18"/>
                <w:lang w:eastAsia="it-IT"/>
                <w14:ligatures w14:val="none"/>
              </w:rPr>
              <w:t>Aumentate</w:t>
            </w:r>
          </w:p>
        </w:tc>
        <w:tc>
          <w:tcPr>
            <w:tcW w:w="638" w:type="pct"/>
            <w:shd w:val="clear" w:color="auto" w:fill="auto"/>
            <w:vAlign w:val="center"/>
            <w:hideMark/>
          </w:tcPr>
          <w:p w14:paraId="72233931" w14:textId="77777777" w:rsidR="006C6580" w:rsidRPr="006C6580" w:rsidRDefault="006C6580" w:rsidP="006C6580">
            <w:pPr>
              <w:spacing w:after="0" w:line="240" w:lineRule="auto"/>
              <w:jc w:val="center"/>
              <w:rPr>
                <w:rFonts w:eastAsia="Times New Roman" w:cs="Calibri"/>
                <w:color w:val="000000"/>
                <w:kern w:val="0"/>
                <w:sz w:val="18"/>
                <w:szCs w:val="18"/>
                <w:lang w:eastAsia="it-IT"/>
                <w14:ligatures w14:val="none"/>
              </w:rPr>
            </w:pPr>
            <w:r w:rsidRPr="006C6580">
              <w:rPr>
                <w:rFonts w:eastAsia="Times New Roman" w:cs="Calibri"/>
                <w:color w:val="000000"/>
                <w:kern w:val="0"/>
                <w:sz w:val="18"/>
                <w:szCs w:val="18"/>
                <w:lang w:eastAsia="it-IT"/>
                <w14:ligatures w14:val="none"/>
              </w:rPr>
              <w:t>Stabili</w:t>
            </w:r>
          </w:p>
        </w:tc>
        <w:tc>
          <w:tcPr>
            <w:tcW w:w="638" w:type="pct"/>
            <w:shd w:val="clear" w:color="auto" w:fill="auto"/>
            <w:vAlign w:val="center"/>
            <w:hideMark/>
          </w:tcPr>
          <w:p w14:paraId="4C5602D0" w14:textId="77777777" w:rsidR="006C6580" w:rsidRPr="006C6580" w:rsidRDefault="006C6580" w:rsidP="006C6580">
            <w:pPr>
              <w:spacing w:after="0" w:line="240" w:lineRule="auto"/>
              <w:jc w:val="center"/>
              <w:rPr>
                <w:rFonts w:eastAsia="Times New Roman" w:cs="Calibri"/>
                <w:color w:val="000000"/>
                <w:kern w:val="0"/>
                <w:sz w:val="18"/>
                <w:szCs w:val="18"/>
                <w:lang w:eastAsia="it-IT"/>
                <w14:ligatures w14:val="none"/>
              </w:rPr>
            </w:pPr>
            <w:r w:rsidRPr="006C6580">
              <w:rPr>
                <w:rFonts w:eastAsia="Times New Roman" w:cs="Calibri"/>
                <w:color w:val="000000"/>
                <w:kern w:val="0"/>
                <w:sz w:val="18"/>
                <w:szCs w:val="18"/>
                <w:lang w:eastAsia="it-IT"/>
                <w14:ligatures w14:val="none"/>
              </w:rPr>
              <w:t>Diminuite</w:t>
            </w:r>
          </w:p>
        </w:tc>
        <w:tc>
          <w:tcPr>
            <w:tcW w:w="638" w:type="pct"/>
            <w:shd w:val="clear" w:color="auto" w:fill="auto"/>
            <w:vAlign w:val="center"/>
            <w:hideMark/>
          </w:tcPr>
          <w:p w14:paraId="1AB6C2B3" w14:textId="77777777" w:rsidR="006C6580" w:rsidRPr="006C6580" w:rsidRDefault="006C6580" w:rsidP="006C6580">
            <w:pPr>
              <w:spacing w:after="0" w:line="240" w:lineRule="auto"/>
              <w:jc w:val="center"/>
              <w:rPr>
                <w:rFonts w:eastAsia="Times New Roman" w:cs="Calibri"/>
                <w:color w:val="000000"/>
                <w:kern w:val="0"/>
                <w:sz w:val="18"/>
                <w:szCs w:val="18"/>
                <w:lang w:eastAsia="it-IT"/>
                <w14:ligatures w14:val="none"/>
              </w:rPr>
            </w:pPr>
            <w:proofErr w:type="spellStart"/>
            <w:r w:rsidRPr="006C6580">
              <w:rPr>
                <w:rFonts w:eastAsia="Times New Roman" w:cs="Calibri"/>
                <w:color w:val="000000"/>
                <w:kern w:val="0"/>
                <w:sz w:val="18"/>
                <w:szCs w:val="18"/>
                <w:lang w:eastAsia="it-IT"/>
                <w14:ligatures w14:val="none"/>
              </w:rPr>
              <w:t>n.r</w:t>
            </w:r>
            <w:proofErr w:type="spellEnd"/>
            <w:r w:rsidRPr="006C6580">
              <w:rPr>
                <w:rFonts w:eastAsia="Times New Roman" w:cs="Calibri"/>
                <w:color w:val="000000"/>
                <w:kern w:val="0"/>
                <w:sz w:val="18"/>
                <w:szCs w:val="18"/>
                <w:lang w:eastAsia="it-IT"/>
                <w14:ligatures w14:val="none"/>
              </w:rPr>
              <w:t>.</w:t>
            </w:r>
          </w:p>
        </w:tc>
        <w:tc>
          <w:tcPr>
            <w:tcW w:w="638" w:type="pct"/>
            <w:shd w:val="clear" w:color="auto" w:fill="auto"/>
            <w:vAlign w:val="center"/>
            <w:hideMark/>
          </w:tcPr>
          <w:p w14:paraId="70581E66" w14:textId="77777777" w:rsidR="006C6580" w:rsidRPr="006C6580" w:rsidRDefault="006C6580" w:rsidP="006C6580">
            <w:pPr>
              <w:spacing w:after="0" w:line="240" w:lineRule="auto"/>
              <w:jc w:val="center"/>
              <w:rPr>
                <w:rFonts w:eastAsia="Times New Roman" w:cs="Calibri"/>
                <w:color w:val="000000"/>
                <w:kern w:val="0"/>
                <w:sz w:val="18"/>
                <w:szCs w:val="18"/>
                <w:lang w:eastAsia="it-IT"/>
                <w14:ligatures w14:val="none"/>
              </w:rPr>
            </w:pPr>
            <w:r w:rsidRPr="006C6580">
              <w:rPr>
                <w:rFonts w:eastAsia="Times New Roman" w:cs="Calibri"/>
                <w:color w:val="000000"/>
                <w:kern w:val="0"/>
                <w:sz w:val="18"/>
                <w:szCs w:val="18"/>
                <w:lang w:eastAsia="it-IT"/>
                <w14:ligatures w14:val="none"/>
              </w:rPr>
              <w:t>Totale</w:t>
            </w:r>
            <w:r w:rsidRPr="006C6580">
              <w:rPr>
                <w:rFonts w:eastAsia="Times New Roman" w:cs="Calibri"/>
                <w:color w:val="000000"/>
                <w:kern w:val="0"/>
                <w:sz w:val="16"/>
                <w:szCs w:val="16"/>
                <w:lang w:eastAsia="it-IT"/>
                <w14:ligatures w14:val="none"/>
              </w:rPr>
              <w:t> </w:t>
            </w:r>
          </w:p>
        </w:tc>
      </w:tr>
      <w:tr w:rsidR="006C6580" w:rsidRPr="006C6580" w14:paraId="4C3483D7" w14:textId="77777777" w:rsidTr="006C6580">
        <w:trPr>
          <w:trHeight w:val="300"/>
        </w:trPr>
        <w:tc>
          <w:tcPr>
            <w:tcW w:w="1781" w:type="pct"/>
            <w:shd w:val="clear" w:color="auto" w:fill="auto"/>
            <w:noWrap/>
            <w:vAlign w:val="center"/>
            <w:hideMark/>
          </w:tcPr>
          <w:p w14:paraId="484A399C" w14:textId="77777777" w:rsidR="006C6580" w:rsidRPr="006C6580" w:rsidRDefault="006C6580" w:rsidP="006C6580">
            <w:pPr>
              <w:spacing w:after="0" w:line="240" w:lineRule="auto"/>
              <w:rPr>
                <w:rFonts w:eastAsia="Times New Roman" w:cs="Calibri"/>
                <w:b/>
                <w:bCs/>
                <w:color w:val="000000"/>
                <w:kern w:val="0"/>
                <w:lang w:eastAsia="it-IT"/>
                <w14:ligatures w14:val="none"/>
              </w:rPr>
            </w:pPr>
            <w:r w:rsidRPr="006C6580">
              <w:rPr>
                <w:rFonts w:eastAsia="Times New Roman" w:cs="Calibri"/>
                <w:b/>
                <w:bCs/>
                <w:color w:val="000000"/>
                <w:kern w:val="0"/>
                <w:lang w:eastAsia="it-IT"/>
                <w14:ligatures w14:val="none"/>
              </w:rPr>
              <w:t>Tutti</w:t>
            </w:r>
          </w:p>
        </w:tc>
        <w:tc>
          <w:tcPr>
            <w:tcW w:w="666" w:type="pct"/>
            <w:shd w:val="clear" w:color="auto" w:fill="auto"/>
            <w:noWrap/>
            <w:vAlign w:val="center"/>
            <w:hideMark/>
          </w:tcPr>
          <w:p w14:paraId="6290E6F8" w14:textId="196CDD98" w:rsidR="006C6580" w:rsidRPr="006C6580" w:rsidRDefault="006C6580" w:rsidP="006C6580">
            <w:pPr>
              <w:spacing w:after="0" w:line="240" w:lineRule="auto"/>
              <w:jc w:val="center"/>
              <w:rPr>
                <w:rFonts w:eastAsia="Times New Roman" w:cs="Calibri"/>
                <w:color w:val="000000"/>
                <w:kern w:val="0"/>
                <w:lang w:eastAsia="it-IT"/>
                <w14:ligatures w14:val="none"/>
              </w:rPr>
            </w:pPr>
            <w:r w:rsidRPr="006C6580">
              <w:rPr>
                <w:rFonts w:eastAsia="Times New Roman" w:cs="Calibri"/>
                <w:color w:val="000000"/>
                <w:kern w:val="0"/>
                <w:lang w:eastAsia="it-IT"/>
                <w14:ligatures w14:val="none"/>
              </w:rPr>
              <w:t>15,4</w:t>
            </w:r>
          </w:p>
        </w:tc>
        <w:tc>
          <w:tcPr>
            <w:tcW w:w="638" w:type="pct"/>
            <w:shd w:val="clear" w:color="auto" w:fill="auto"/>
            <w:noWrap/>
            <w:vAlign w:val="center"/>
            <w:hideMark/>
          </w:tcPr>
          <w:p w14:paraId="6BF99501" w14:textId="007DC5DF" w:rsidR="006C6580" w:rsidRPr="006C6580" w:rsidRDefault="006C6580" w:rsidP="006C6580">
            <w:pPr>
              <w:spacing w:after="0" w:line="240" w:lineRule="auto"/>
              <w:jc w:val="center"/>
              <w:rPr>
                <w:rFonts w:eastAsia="Times New Roman" w:cs="Calibri"/>
                <w:color w:val="000000"/>
                <w:kern w:val="0"/>
                <w:lang w:eastAsia="it-IT"/>
                <w14:ligatures w14:val="none"/>
              </w:rPr>
            </w:pPr>
            <w:r w:rsidRPr="006C6580">
              <w:rPr>
                <w:rFonts w:eastAsia="Times New Roman" w:cs="Calibri"/>
                <w:color w:val="000000"/>
                <w:kern w:val="0"/>
                <w:lang w:eastAsia="it-IT"/>
                <w14:ligatures w14:val="none"/>
              </w:rPr>
              <w:t>42,7</w:t>
            </w:r>
          </w:p>
        </w:tc>
        <w:tc>
          <w:tcPr>
            <w:tcW w:w="638" w:type="pct"/>
            <w:shd w:val="clear" w:color="auto" w:fill="auto"/>
            <w:noWrap/>
            <w:vAlign w:val="center"/>
            <w:hideMark/>
          </w:tcPr>
          <w:p w14:paraId="60D62A31" w14:textId="741CB195" w:rsidR="006C6580" w:rsidRPr="006C6580" w:rsidRDefault="006C6580" w:rsidP="006C6580">
            <w:pPr>
              <w:spacing w:after="0" w:line="240" w:lineRule="auto"/>
              <w:jc w:val="center"/>
              <w:rPr>
                <w:rFonts w:eastAsia="Times New Roman" w:cs="Calibri"/>
                <w:color w:val="000000"/>
                <w:kern w:val="0"/>
                <w:lang w:eastAsia="it-IT"/>
                <w14:ligatures w14:val="none"/>
              </w:rPr>
            </w:pPr>
            <w:r w:rsidRPr="006C6580">
              <w:rPr>
                <w:rFonts w:eastAsia="Times New Roman" w:cs="Calibri"/>
                <w:color w:val="000000"/>
                <w:kern w:val="0"/>
                <w:lang w:eastAsia="it-IT"/>
                <w14:ligatures w14:val="none"/>
              </w:rPr>
              <w:t>39,9</w:t>
            </w:r>
          </w:p>
        </w:tc>
        <w:tc>
          <w:tcPr>
            <w:tcW w:w="638" w:type="pct"/>
            <w:shd w:val="clear" w:color="auto" w:fill="auto"/>
            <w:noWrap/>
            <w:vAlign w:val="center"/>
            <w:hideMark/>
          </w:tcPr>
          <w:p w14:paraId="131D8A1F" w14:textId="0BD59C77" w:rsidR="006C6580" w:rsidRPr="006C6580" w:rsidRDefault="006C6580" w:rsidP="006C6580">
            <w:pPr>
              <w:spacing w:after="0" w:line="240" w:lineRule="auto"/>
              <w:jc w:val="center"/>
              <w:rPr>
                <w:rFonts w:eastAsia="Times New Roman" w:cs="Calibri"/>
                <w:color w:val="000000"/>
                <w:kern w:val="0"/>
                <w:lang w:eastAsia="it-IT"/>
                <w14:ligatures w14:val="none"/>
              </w:rPr>
            </w:pPr>
            <w:r w:rsidRPr="006C6580">
              <w:rPr>
                <w:rFonts w:eastAsia="Times New Roman" w:cs="Calibri"/>
                <w:color w:val="000000"/>
                <w:kern w:val="0"/>
                <w:lang w:eastAsia="it-IT"/>
                <w14:ligatures w14:val="none"/>
              </w:rPr>
              <w:t>2,1</w:t>
            </w:r>
          </w:p>
        </w:tc>
        <w:tc>
          <w:tcPr>
            <w:tcW w:w="638" w:type="pct"/>
            <w:shd w:val="clear" w:color="auto" w:fill="auto"/>
            <w:noWrap/>
            <w:vAlign w:val="center"/>
            <w:hideMark/>
          </w:tcPr>
          <w:p w14:paraId="6F488573" w14:textId="1CE03F80" w:rsidR="006C6580" w:rsidRPr="006C6580" w:rsidRDefault="006C6580" w:rsidP="006C6580">
            <w:pPr>
              <w:spacing w:after="0" w:line="240" w:lineRule="auto"/>
              <w:jc w:val="center"/>
              <w:rPr>
                <w:rFonts w:eastAsia="Times New Roman" w:cs="Calibri"/>
                <w:color w:val="000000"/>
                <w:kern w:val="0"/>
                <w:lang w:eastAsia="it-IT"/>
                <w14:ligatures w14:val="none"/>
              </w:rPr>
            </w:pPr>
            <w:r w:rsidRPr="006C6580">
              <w:rPr>
                <w:rFonts w:eastAsia="Times New Roman" w:cs="Calibri"/>
                <w:color w:val="000000"/>
                <w:kern w:val="0"/>
                <w:lang w:eastAsia="it-IT"/>
                <w14:ligatures w14:val="none"/>
              </w:rPr>
              <w:t>100</w:t>
            </w:r>
          </w:p>
        </w:tc>
      </w:tr>
      <w:tr w:rsidR="006C6580" w:rsidRPr="006C6580" w14:paraId="3B2F9A7A" w14:textId="77777777" w:rsidTr="006C6580">
        <w:trPr>
          <w:trHeight w:val="300"/>
        </w:trPr>
        <w:tc>
          <w:tcPr>
            <w:tcW w:w="1781" w:type="pct"/>
            <w:shd w:val="clear" w:color="auto" w:fill="auto"/>
            <w:noWrap/>
            <w:vAlign w:val="center"/>
            <w:hideMark/>
          </w:tcPr>
          <w:p w14:paraId="15B29AB6" w14:textId="77777777" w:rsidR="006C6580" w:rsidRPr="006C6580" w:rsidRDefault="006C6580" w:rsidP="006C6580">
            <w:pPr>
              <w:spacing w:after="0" w:line="240" w:lineRule="auto"/>
              <w:rPr>
                <w:rFonts w:eastAsia="Times New Roman" w:cs="Calibri"/>
                <w:b/>
                <w:bCs/>
                <w:color w:val="000000"/>
                <w:kern w:val="0"/>
                <w:lang w:eastAsia="it-IT"/>
                <w14:ligatures w14:val="none"/>
              </w:rPr>
            </w:pPr>
            <w:r w:rsidRPr="006C6580">
              <w:rPr>
                <w:rFonts w:eastAsia="Times New Roman" w:cs="Calibri"/>
                <w:b/>
                <w:bCs/>
                <w:color w:val="000000"/>
                <w:kern w:val="0"/>
                <w:lang w:eastAsia="it-IT"/>
                <w14:ligatures w14:val="none"/>
              </w:rPr>
              <w:t>Macrosettore</w:t>
            </w:r>
          </w:p>
        </w:tc>
        <w:tc>
          <w:tcPr>
            <w:tcW w:w="666" w:type="pct"/>
            <w:shd w:val="clear" w:color="auto" w:fill="auto"/>
            <w:hideMark/>
          </w:tcPr>
          <w:p w14:paraId="7FE5F627" w14:textId="77777777" w:rsidR="006C6580" w:rsidRPr="006C6580" w:rsidRDefault="006C6580" w:rsidP="006C6580">
            <w:pPr>
              <w:spacing w:after="0" w:line="240" w:lineRule="auto"/>
              <w:rPr>
                <w:rFonts w:eastAsia="Times New Roman" w:cs="Calibri"/>
                <w:color w:val="000000"/>
                <w:kern w:val="0"/>
                <w:lang w:eastAsia="it-IT"/>
                <w14:ligatures w14:val="none"/>
              </w:rPr>
            </w:pPr>
            <w:r w:rsidRPr="006C6580">
              <w:rPr>
                <w:rFonts w:eastAsia="Times New Roman" w:cs="Calibri"/>
                <w:color w:val="000000"/>
                <w:kern w:val="0"/>
                <w:lang w:eastAsia="it-IT"/>
                <w14:ligatures w14:val="none"/>
              </w:rPr>
              <w:t> </w:t>
            </w:r>
          </w:p>
        </w:tc>
        <w:tc>
          <w:tcPr>
            <w:tcW w:w="638" w:type="pct"/>
            <w:shd w:val="clear" w:color="auto" w:fill="auto"/>
            <w:hideMark/>
          </w:tcPr>
          <w:p w14:paraId="342145A8" w14:textId="77777777" w:rsidR="006C6580" w:rsidRPr="006C6580" w:rsidRDefault="006C6580" w:rsidP="006C6580">
            <w:pPr>
              <w:spacing w:after="0" w:line="240" w:lineRule="auto"/>
              <w:rPr>
                <w:rFonts w:eastAsia="Times New Roman" w:cs="Calibri"/>
                <w:color w:val="000000"/>
                <w:kern w:val="0"/>
                <w:lang w:eastAsia="it-IT"/>
                <w14:ligatures w14:val="none"/>
              </w:rPr>
            </w:pPr>
            <w:r w:rsidRPr="006C6580">
              <w:rPr>
                <w:rFonts w:eastAsia="Times New Roman" w:cs="Calibri"/>
                <w:color w:val="000000"/>
                <w:kern w:val="0"/>
                <w:lang w:eastAsia="it-IT"/>
                <w14:ligatures w14:val="none"/>
              </w:rPr>
              <w:t> </w:t>
            </w:r>
          </w:p>
        </w:tc>
        <w:tc>
          <w:tcPr>
            <w:tcW w:w="638" w:type="pct"/>
            <w:shd w:val="clear" w:color="auto" w:fill="auto"/>
            <w:hideMark/>
          </w:tcPr>
          <w:p w14:paraId="7B7A11DF" w14:textId="77777777" w:rsidR="006C6580" w:rsidRPr="006C6580" w:rsidRDefault="006C6580" w:rsidP="006C6580">
            <w:pPr>
              <w:spacing w:after="0" w:line="240" w:lineRule="auto"/>
              <w:rPr>
                <w:rFonts w:eastAsia="Times New Roman" w:cs="Calibri"/>
                <w:color w:val="000000"/>
                <w:kern w:val="0"/>
                <w:lang w:eastAsia="it-IT"/>
                <w14:ligatures w14:val="none"/>
              </w:rPr>
            </w:pPr>
            <w:r w:rsidRPr="006C6580">
              <w:rPr>
                <w:rFonts w:eastAsia="Times New Roman" w:cs="Calibri"/>
                <w:color w:val="000000"/>
                <w:kern w:val="0"/>
                <w:lang w:eastAsia="it-IT"/>
                <w14:ligatures w14:val="none"/>
              </w:rPr>
              <w:t> </w:t>
            </w:r>
          </w:p>
        </w:tc>
        <w:tc>
          <w:tcPr>
            <w:tcW w:w="638" w:type="pct"/>
            <w:shd w:val="clear" w:color="auto" w:fill="auto"/>
            <w:noWrap/>
            <w:vAlign w:val="bottom"/>
            <w:hideMark/>
          </w:tcPr>
          <w:p w14:paraId="150CA208" w14:textId="77777777" w:rsidR="006C6580" w:rsidRPr="006C6580" w:rsidRDefault="006C6580" w:rsidP="006C6580">
            <w:pPr>
              <w:spacing w:after="0" w:line="240" w:lineRule="auto"/>
              <w:rPr>
                <w:rFonts w:eastAsia="Times New Roman" w:cs="Calibri"/>
                <w:color w:val="000000"/>
                <w:kern w:val="0"/>
                <w:lang w:eastAsia="it-IT"/>
                <w14:ligatures w14:val="none"/>
              </w:rPr>
            </w:pPr>
            <w:r w:rsidRPr="006C6580">
              <w:rPr>
                <w:rFonts w:eastAsia="Times New Roman" w:cs="Calibri"/>
                <w:color w:val="000000"/>
                <w:kern w:val="0"/>
                <w:lang w:eastAsia="it-IT"/>
                <w14:ligatures w14:val="none"/>
              </w:rPr>
              <w:t> </w:t>
            </w:r>
          </w:p>
        </w:tc>
        <w:tc>
          <w:tcPr>
            <w:tcW w:w="638" w:type="pct"/>
            <w:shd w:val="clear" w:color="auto" w:fill="auto"/>
            <w:noWrap/>
            <w:vAlign w:val="bottom"/>
            <w:hideMark/>
          </w:tcPr>
          <w:p w14:paraId="20B0D6DD" w14:textId="77777777" w:rsidR="006C6580" w:rsidRPr="006C6580" w:rsidRDefault="006C6580" w:rsidP="006C6580">
            <w:pPr>
              <w:spacing w:after="0" w:line="240" w:lineRule="auto"/>
              <w:rPr>
                <w:rFonts w:eastAsia="Times New Roman" w:cs="Calibri"/>
                <w:color w:val="000000"/>
                <w:kern w:val="0"/>
                <w:lang w:eastAsia="it-IT"/>
                <w14:ligatures w14:val="none"/>
              </w:rPr>
            </w:pPr>
            <w:r w:rsidRPr="006C6580">
              <w:rPr>
                <w:rFonts w:eastAsia="Times New Roman" w:cs="Calibri"/>
                <w:color w:val="000000"/>
                <w:kern w:val="0"/>
                <w:lang w:eastAsia="it-IT"/>
                <w14:ligatures w14:val="none"/>
              </w:rPr>
              <w:t> </w:t>
            </w:r>
          </w:p>
        </w:tc>
      </w:tr>
      <w:tr w:rsidR="006C6580" w:rsidRPr="006C6580" w14:paraId="6C75BD67" w14:textId="77777777" w:rsidTr="006C6580">
        <w:trPr>
          <w:trHeight w:val="300"/>
        </w:trPr>
        <w:tc>
          <w:tcPr>
            <w:tcW w:w="1781" w:type="pct"/>
            <w:shd w:val="clear" w:color="auto" w:fill="auto"/>
            <w:noWrap/>
            <w:vAlign w:val="center"/>
            <w:hideMark/>
          </w:tcPr>
          <w:p w14:paraId="2C460B05" w14:textId="77777777" w:rsidR="006C6580" w:rsidRPr="006C6580" w:rsidRDefault="006C6580" w:rsidP="006C6580">
            <w:pPr>
              <w:spacing w:after="0" w:line="240" w:lineRule="auto"/>
              <w:rPr>
                <w:rFonts w:eastAsia="Times New Roman" w:cs="Calibri"/>
                <w:color w:val="000000"/>
                <w:kern w:val="0"/>
                <w:lang w:eastAsia="it-IT"/>
                <w14:ligatures w14:val="none"/>
              </w:rPr>
            </w:pPr>
            <w:r w:rsidRPr="006C6580">
              <w:rPr>
                <w:rFonts w:eastAsia="Times New Roman" w:cs="Calibri"/>
                <w:color w:val="000000"/>
                <w:kern w:val="0"/>
                <w:lang w:eastAsia="it-IT"/>
                <w14:ligatures w14:val="none"/>
              </w:rPr>
              <w:t>Altri settori</w:t>
            </w:r>
          </w:p>
        </w:tc>
        <w:tc>
          <w:tcPr>
            <w:tcW w:w="666" w:type="pct"/>
            <w:shd w:val="clear" w:color="auto" w:fill="auto"/>
            <w:noWrap/>
            <w:vAlign w:val="center"/>
            <w:hideMark/>
          </w:tcPr>
          <w:p w14:paraId="16218A59" w14:textId="61F0C2CD" w:rsidR="006C6580" w:rsidRPr="006C6580" w:rsidRDefault="006C6580" w:rsidP="006C6580">
            <w:pPr>
              <w:spacing w:after="0" w:line="240" w:lineRule="auto"/>
              <w:jc w:val="center"/>
              <w:rPr>
                <w:rFonts w:eastAsia="Times New Roman" w:cs="Calibri"/>
                <w:color w:val="000000"/>
                <w:kern w:val="0"/>
                <w:lang w:eastAsia="it-IT"/>
                <w14:ligatures w14:val="none"/>
              </w:rPr>
            </w:pPr>
            <w:r w:rsidRPr="006C6580">
              <w:rPr>
                <w:rFonts w:eastAsia="Times New Roman" w:cs="Calibri"/>
                <w:color w:val="000000"/>
                <w:kern w:val="0"/>
                <w:lang w:eastAsia="it-IT"/>
                <w14:ligatures w14:val="none"/>
              </w:rPr>
              <w:t>16,8</w:t>
            </w:r>
          </w:p>
        </w:tc>
        <w:tc>
          <w:tcPr>
            <w:tcW w:w="638" w:type="pct"/>
            <w:shd w:val="clear" w:color="auto" w:fill="auto"/>
            <w:noWrap/>
            <w:vAlign w:val="center"/>
            <w:hideMark/>
          </w:tcPr>
          <w:p w14:paraId="1FC52F68" w14:textId="6C6E203D" w:rsidR="006C6580" w:rsidRPr="006C6580" w:rsidRDefault="006C6580" w:rsidP="006C6580">
            <w:pPr>
              <w:spacing w:after="0" w:line="240" w:lineRule="auto"/>
              <w:jc w:val="center"/>
              <w:rPr>
                <w:rFonts w:eastAsia="Times New Roman" w:cs="Calibri"/>
                <w:color w:val="000000"/>
                <w:kern w:val="0"/>
                <w:lang w:eastAsia="it-IT"/>
                <w14:ligatures w14:val="none"/>
              </w:rPr>
            </w:pPr>
            <w:r w:rsidRPr="006C6580">
              <w:rPr>
                <w:rFonts w:eastAsia="Times New Roman" w:cs="Calibri"/>
                <w:color w:val="000000"/>
                <w:kern w:val="0"/>
                <w:lang w:eastAsia="it-IT"/>
                <w14:ligatures w14:val="none"/>
              </w:rPr>
              <w:t>40,7</w:t>
            </w:r>
          </w:p>
        </w:tc>
        <w:tc>
          <w:tcPr>
            <w:tcW w:w="638" w:type="pct"/>
            <w:shd w:val="clear" w:color="auto" w:fill="auto"/>
            <w:noWrap/>
            <w:vAlign w:val="center"/>
            <w:hideMark/>
          </w:tcPr>
          <w:p w14:paraId="6AB86FA9" w14:textId="57D7C855" w:rsidR="006C6580" w:rsidRPr="006C6580" w:rsidRDefault="006C6580" w:rsidP="006C6580">
            <w:pPr>
              <w:spacing w:after="0" w:line="240" w:lineRule="auto"/>
              <w:jc w:val="center"/>
              <w:rPr>
                <w:rFonts w:eastAsia="Times New Roman" w:cs="Calibri"/>
                <w:color w:val="000000"/>
                <w:kern w:val="0"/>
                <w:lang w:eastAsia="it-IT"/>
                <w14:ligatures w14:val="none"/>
              </w:rPr>
            </w:pPr>
            <w:r w:rsidRPr="006C6580">
              <w:rPr>
                <w:rFonts w:eastAsia="Times New Roman" w:cs="Calibri"/>
                <w:color w:val="000000"/>
                <w:kern w:val="0"/>
                <w:lang w:eastAsia="it-IT"/>
                <w14:ligatures w14:val="none"/>
              </w:rPr>
              <w:t>40,9</w:t>
            </w:r>
          </w:p>
        </w:tc>
        <w:tc>
          <w:tcPr>
            <w:tcW w:w="638" w:type="pct"/>
            <w:shd w:val="clear" w:color="auto" w:fill="auto"/>
            <w:noWrap/>
            <w:vAlign w:val="center"/>
            <w:hideMark/>
          </w:tcPr>
          <w:p w14:paraId="40A0A027" w14:textId="0C2D4E9B" w:rsidR="006C6580" w:rsidRPr="006C6580" w:rsidRDefault="006C6580" w:rsidP="006C6580">
            <w:pPr>
              <w:spacing w:after="0" w:line="240" w:lineRule="auto"/>
              <w:jc w:val="center"/>
              <w:rPr>
                <w:rFonts w:eastAsia="Times New Roman" w:cs="Calibri"/>
                <w:color w:val="000000"/>
                <w:kern w:val="0"/>
                <w:lang w:eastAsia="it-IT"/>
                <w14:ligatures w14:val="none"/>
              </w:rPr>
            </w:pPr>
            <w:r w:rsidRPr="006C6580">
              <w:rPr>
                <w:rFonts w:eastAsia="Times New Roman" w:cs="Calibri"/>
                <w:color w:val="000000"/>
                <w:kern w:val="0"/>
                <w:lang w:eastAsia="it-IT"/>
                <w14:ligatures w14:val="none"/>
              </w:rPr>
              <w:t>1,6</w:t>
            </w:r>
          </w:p>
        </w:tc>
        <w:tc>
          <w:tcPr>
            <w:tcW w:w="638" w:type="pct"/>
            <w:shd w:val="clear" w:color="auto" w:fill="auto"/>
            <w:noWrap/>
            <w:vAlign w:val="center"/>
            <w:hideMark/>
          </w:tcPr>
          <w:p w14:paraId="6D2CD860" w14:textId="412D4F19" w:rsidR="006C6580" w:rsidRPr="006C6580" w:rsidRDefault="006C6580" w:rsidP="006C6580">
            <w:pPr>
              <w:spacing w:after="0" w:line="240" w:lineRule="auto"/>
              <w:jc w:val="center"/>
              <w:rPr>
                <w:rFonts w:eastAsia="Times New Roman" w:cs="Calibri"/>
                <w:color w:val="000000"/>
                <w:kern w:val="0"/>
                <w:lang w:eastAsia="it-IT"/>
                <w14:ligatures w14:val="none"/>
              </w:rPr>
            </w:pPr>
            <w:r w:rsidRPr="006C6580">
              <w:rPr>
                <w:rFonts w:eastAsia="Times New Roman" w:cs="Calibri"/>
                <w:color w:val="000000"/>
                <w:kern w:val="0"/>
                <w:lang w:eastAsia="it-IT"/>
                <w14:ligatures w14:val="none"/>
              </w:rPr>
              <w:t>100</w:t>
            </w:r>
          </w:p>
        </w:tc>
      </w:tr>
      <w:tr w:rsidR="006C6580" w:rsidRPr="006C6580" w14:paraId="0A12AEEE" w14:textId="77777777" w:rsidTr="006C6580">
        <w:trPr>
          <w:trHeight w:val="300"/>
        </w:trPr>
        <w:tc>
          <w:tcPr>
            <w:tcW w:w="1781" w:type="pct"/>
            <w:shd w:val="clear" w:color="auto" w:fill="auto"/>
            <w:noWrap/>
            <w:vAlign w:val="center"/>
            <w:hideMark/>
          </w:tcPr>
          <w:p w14:paraId="7BF01339" w14:textId="77777777" w:rsidR="006C6580" w:rsidRPr="006C6580" w:rsidRDefault="006C6580" w:rsidP="006C6580">
            <w:pPr>
              <w:spacing w:after="0" w:line="240" w:lineRule="auto"/>
              <w:rPr>
                <w:rFonts w:eastAsia="Times New Roman" w:cs="Calibri"/>
                <w:color w:val="000000"/>
                <w:kern w:val="0"/>
                <w:lang w:eastAsia="it-IT"/>
                <w14:ligatures w14:val="none"/>
              </w:rPr>
            </w:pPr>
            <w:r w:rsidRPr="006C6580">
              <w:rPr>
                <w:rFonts w:eastAsia="Times New Roman" w:cs="Calibri"/>
                <w:color w:val="000000"/>
                <w:kern w:val="0"/>
                <w:lang w:eastAsia="it-IT"/>
                <w14:ligatures w14:val="none"/>
              </w:rPr>
              <w:t>Metalmeccanica</w:t>
            </w:r>
          </w:p>
        </w:tc>
        <w:tc>
          <w:tcPr>
            <w:tcW w:w="666" w:type="pct"/>
            <w:shd w:val="clear" w:color="auto" w:fill="auto"/>
            <w:noWrap/>
            <w:vAlign w:val="center"/>
            <w:hideMark/>
          </w:tcPr>
          <w:p w14:paraId="441E66D2" w14:textId="0240542B" w:rsidR="006C6580" w:rsidRPr="006C6580" w:rsidRDefault="006C6580" w:rsidP="006C6580">
            <w:pPr>
              <w:spacing w:after="0" w:line="240" w:lineRule="auto"/>
              <w:jc w:val="center"/>
              <w:rPr>
                <w:rFonts w:eastAsia="Times New Roman" w:cs="Calibri"/>
                <w:color w:val="000000"/>
                <w:kern w:val="0"/>
                <w:lang w:eastAsia="it-IT"/>
                <w14:ligatures w14:val="none"/>
              </w:rPr>
            </w:pPr>
            <w:r w:rsidRPr="006C6580">
              <w:rPr>
                <w:rFonts w:eastAsia="Times New Roman" w:cs="Calibri"/>
                <w:color w:val="000000"/>
                <w:kern w:val="0"/>
                <w:lang w:eastAsia="it-IT"/>
                <w14:ligatures w14:val="none"/>
              </w:rPr>
              <w:t>13,9</w:t>
            </w:r>
          </w:p>
        </w:tc>
        <w:tc>
          <w:tcPr>
            <w:tcW w:w="638" w:type="pct"/>
            <w:shd w:val="clear" w:color="auto" w:fill="auto"/>
            <w:noWrap/>
            <w:vAlign w:val="center"/>
            <w:hideMark/>
          </w:tcPr>
          <w:p w14:paraId="5D5B5C88" w14:textId="78E9A02D" w:rsidR="006C6580" w:rsidRPr="006C6580" w:rsidRDefault="006C6580" w:rsidP="006C6580">
            <w:pPr>
              <w:spacing w:after="0" w:line="240" w:lineRule="auto"/>
              <w:jc w:val="center"/>
              <w:rPr>
                <w:rFonts w:eastAsia="Times New Roman" w:cs="Calibri"/>
                <w:color w:val="000000"/>
                <w:kern w:val="0"/>
                <w:lang w:eastAsia="it-IT"/>
                <w14:ligatures w14:val="none"/>
              </w:rPr>
            </w:pPr>
            <w:r w:rsidRPr="006C6580">
              <w:rPr>
                <w:rFonts w:eastAsia="Times New Roman" w:cs="Calibri"/>
                <w:color w:val="000000"/>
                <w:kern w:val="0"/>
                <w:lang w:eastAsia="it-IT"/>
                <w14:ligatures w14:val="none"/>
              </w:rPr>
              <w:t>44,8</w:t>
            </w:r>
          </w:p>
        </w:tc>
        <w:tc>
          <w:tcPr>
            <w:tcW w:w="638" w:type="pct"/>
            <w:shd w:val="clear" w:color="auto" w:fill="auto"/>
            <w:noWrap/>
            <w:vAlign w:val="center"/>
            <w:hideMark/>
          </w:tcPr>
          <w:p w14:paraId="14F9A9DF" w14:textId="35B2E526" w:rsidR="006C6580" w:rsidRPr="006C6580" w:rsidRDefault="006C6580" w:rsidP="006C6580">
            <w:pPr>
              <w:spacing w:after="0" w:line="240" w:lineRule="auto"/>
              <w:jc w:val="center"/>
              <w:rPr>
                <w:rFonts w:eastAsia="Times New Roman" w:cs="Calibri"/>
                <w:color w:val="000000"/>
                <w:kern w:val="0"/>
                <w:lang w:eastAsia="it-IT"/>
                <w14:ligatures w14:val="none"/>
              </w:rPr>
            </w:pPr>
            <w:r w:rsidRPr="006C6580">
              <w:rPr>
                <w:rFonts w:eastAsia="Times New Roman" w:cs="Calibri"/>
                <w:color w:val="000000"/>
                <w:kern w:val="0"/>
                <w:lang w:eastAsia="it-IT"/>
                <w14:ligatures w14:val="none"/>
              </w:rPr>
              <w:t>38,8</w:t>
            </w:r>
          </w:p>
        </w:tc>
        <w:tc>
          <w:tcPr>
            <w:tcW w:w="638" w:type="pct"/>
            <w:shd w:val="clear" w:color="auto" w:fill="auto"/>
            <w:noWrap/>
            <w:vAlign w:val="center"/>
            <w:hideMark/>
          </w:tcPr>
          <w:p w14:paraId="48F68908" w14:textId="2B0DA485" w:rsidR="006C6580" w:rsidRPr="006C6580" w:rsidRDefault="006C6580" w:rsidP="006C6580">
            <w:pPr>
              <w:spacing w:after="0" w:line="240" w:lineRule="auto"/>
              <w:jc w:val="center"/>
              <w:rPr>
                <w:rFonts w:eastAsia="Times New Roman" w:cs="Calibri"/>
                <w:color w:val="000000"/>
                <w:kern w:val="0"/>
                <w:lang w:eastAsia="it-IT"/>
                <w14:ligatures w14:val="none"/>
              </w:rPr>
            </w:pPr>
            <w:r w:rsidRPr="006C6580">
              <w:rPr>
                <w:rFonts w:eastAsia="Times New Roman" w:cs="Calibri"/>
                <w:color w:val="000000"/>
                <w:kern w:val="0"/>
                <w:lang w:eastAsia="it-IT"/>
                <w14:ligatures w14:val="none"/>
              </w:rPr>
              <w:t>2,5</w:t>
            </w:r>
          </w:p>
        </w:tc>
        <w:tc>
          <w:tcPr>
            <w:tcW w:w="638" w:type="pct"/>
            <w:shd w:val="clear" w:color="auto" w:fill="auto"/>
            <w:noWrap/>
            <w:vAlign w:val="center"/>
            <w:hideMark/>
          </w:tcPr>
          <w:p w14:paraId="34F3DA83" w14:textId="456D4142" w:rsidR="006C6580" w:rsidRPr="006C6580" w:rsidRDefault="006C6580" w:rsidP="006C6580">
            <w:pPr>
              <w:spacing w:after="0" w:line="240" w:lineRule="auto"/>
              <w:jc w:val="center"/>
              <w:rPr>
                <w:rFonts w:eastAsia="Times New Roman" w:cs="Calibri"/>
                <w:color w:val="000000"/>
                <w:kern w:val="0"/>
                <w:lang w:eastAsia="it-IT"/>
                <w14:ligatures w14:val="none"/>
              </w:rPr>
            </w:pPr>
            <w:r w:rsidRPr="006C6580">
              <w:rPr>
                <w:rFonts w:eastAsia="Times New Roman" w:cs="Calibri"/>
                <w:color w:val="000000"/>
                <w:kern w:val="0"/>
                <w:lang w:eastAsia="it-IT"/>
                <w14:ligatures w14:val="none"/>
              </w:rPr>
              <w:t>100</w:t>
            </w:r>
          </w:p>
        </w:tc>
      </w:tr>
      <w:tr w:rsidR="006C6580" w:rsidRPr="006C6580" w14:paraId="117D45C9" w14:textId="77777777" w:rsidTr="006C6580">
        <w:trPr>
          <w:trHeight w:val="300"/>
        </w:trPr>
        <w:tc>
          <w:tcPr>
            <w:tcW w:w="1781" w:type="pct"/>
            <w:shd w:val="clear" w:color="auto" w:fill="auto"/>
            <w:noWrap/>
            <w:vAlign w:val="center"/>
            <w:hideMark/>
          </w:tcPr>
          <w:p w14:paraId="09CDA40D" w14:textId="77777777" w:rsidR="006C6580" w:rsidRPr="006C6580" w:rsidRDefault="006C6580" w:rsidP="006C6580">
            <w:pPr>
              <w:spacing w:after="0" w:line="240" w:lineRule="auto"/>
              <w:rPr>
                <w:rFonts w:eastAsia="Times New Roman" w:cs="Calibri"/>
                <w:b/>
                <w:bCs/>
                <w:color w:val="000000"/>
                <w:kern w:val="0"/>
                <w:lang w:eastAsia="it-IT"/>
                <w14:ligatures w14:val="none"/>
              </w:rPr>
            </w:pPr>
            <w:r w:rsidRPr="006C6580">
              <w:rPr>
                <w:rFonts w:eastAsia="Times New Roman" w:cs="Calibri"/>
                <w:b/>
                <w:bCs/>
                <w:color w:val="000000"/>
                <w:kern w:val="0"/>
                <w:lang w:eastAsia="it-IT"/>
                <w14:ligatures w14:val="none"/>
              </w:rPr>
              <w:t>Dimensioni</w:t>
            </w:r>
          </w:p>
        </w:tc>
        <w:tc>
          <w:tcPr>
            <w:tcW w:w="666" w:type="pct"/>
            <w:shd w:val="clear" w:color="auto" w:fill="auto"/>
            <w:noWrap/>
            <w:vAlign w:val="bottom"/>
            <w:hideMark/>
          </w:tcPr>
          <w:p w14:paraId="311B340E" w14:textId="77777777" w:rsidR="006C6580" w:rsidRPr="006C6580" w:rsidRDefault="006C6580" w:rsidP="006C6580">
            <w:pPr>
              <w:spacing w:after="0" w:line="240" w:lineRule="auto"/>
              <w:rPr>
                <w:rFonts w:eastAsia="Times New Roman" w:cs="Calibri"/>
                <w:color w:val="000000"/>
                <w:kern w:val="0"/>
                <w:lang w:eastAsia="it-IT"/>
                <w14:ligatures w14:val="none"/>
              </w:rPr>
            </w:pPr>
            <w:r w:rsidRPr="006C6580">
              <w:rPr>
                <w:rFonts w:eastAsia="Times New Roman" w:cs="Calibri"/>
                <w:color w:val="000000"/>
                <w:kern w:val="0"/>
                <w:lang w:eastAsia="it-IT"/>
                <w14:ligatures w14:val="none"/>
              </w:rPr>
              <w:t> </w:t>
            </w:r>
          </w:p>
        </w:tc>
        <w:tc>
          <w:tcPr>
            <w:tcW w:w="638" w:type="pct"/>
            <w:shd w:val="clear" w:color="auto" w:fill="auto"/>
            <w:noWrap/>
            <w:vAlign w:val="bottom"/>
            <w:hideMark/>
          </w:tcPr>
          <w:p w14:paraId="7BA8D2CD" w14:textId="77777777" w:rsidR="006C6580" w:rsidRPr="006C6580" w:rsidRDefault="006C6580" w:rsidP="006C6580">
            <w:pPr>
              <w:spacing w:after="0" w:line="240" w:lineRule="auto"/>
              <w:rPr>
                <w:rFonts w:eastAsia="Times New Roman" w:cs="Calibri"/>
                <w:color w:val="000000"/>
                <w:kern w:val="0"/>
                <w:lang w:eastAsia="it-IT"/>
                <w14:ligatures w14:val="none"/>
              </w:rPr>
            </w:pPr>
            <w:r w:rsidRPr="006C6580">
              <w:rPr>
                <w:rFonts w:eastAsia="Times New Roman" w:cs="Calibri"/>
                <w:color w:val="000000"/>
                <w:kern w:val="0"/>
                <w:lang w:eastAsia="it-IT"/>
                <w14:ligatures w14:val="none"/>
              </w:rPr>
              <w:t> </w:t>
            </w:r>
          </w:p>
        </w:tc>
        <w:tc>
          <w:tcPr>
            <w:tcW w:w="638" w:type="pct"/>
            <w:shd w:val="clear" w:color="auto" w:fill="auto"/>
            <w:noWrap/>
            <w:vAlign w:val="bottom"/>
            <w:hideMark/>
          </w:tcPr>
          <w:p w14:paraId="16ABFAE3" w14:textId="77777777" w:rsidR="006C6580" w:rsidRPr="006C6580" w:rsidRDefault="006C6580" w:rsidP="006C6580">
            <w:pPr>
              <w:spacing w:after="0" w:line="240" w:lineRule="auto"/>
              <w:rPr>
                <w:rFonts w:eastAsia="Times New Roman" w:cs="Calibri"/>
                <w:color w:val="000000"/>
                <w:kern w:val="0"/>
                <w:lang w:eastAsia="it-IT"/>
                <w14:ligatures w14:val="none"/>
              </w:rPr>
            </w:pPr>
            <w:r w:rsidRPr="006C6580">
              <w:rPr>
                <w:rFonts w:eastAsia="Times New Roman" w:cs="Calibri"/>
                <w:color w:val="000000"/>
                <w:kern w:val="0"/>
                <w:lang w:eastAsia="it-IT"/>
                <w14:ligatures w14:val="none"/>
              </w:rPr>
              <w:t> </w:t>
            </w:r>
          </w:p>
        </w:tc>
        <w:tc>
          <w:tcPr>
            <w:tcW w:w="638" w:type="pct"/>
            <w:shd w:val="clear" w:color="auto" w:fill="auto"/>
            <w:noWrap/>
            <w:vAlign w:val="bottom"/>
            <w:hideMark/>
          </w:tcPr>
          <w:p w14:paraId="5EC4860B" w14:textId="77777777" w:rsidR="006C6580" w:rsidRPr="006C6580" w:rsidRDefault="006C6580" w:rsidP="006C6580">
            <w:pPr>
              <w:spacing w:after="0" w:line="240" w:lineRule="auto"/>
              <w:rPr>
                <w:rFonts w:eastAsia="Times New Roman" w:cs="Calibri"/>
                <w:color w:val="000000"/>
                <w:kern w:val="0"/>
                <w:lang w:eastAsia="it-IT"/>
                <w14:ligatures w14:val="none"/>
              </w:rPr>
            </w:pPr>
            <w:r w:rsidRPr="006C6580">
              <w:rPr>
                <w:rFonts w:eastAsia="Times New Roman" w:cs="Calibri"/>
                <w:color w:val="000000"/>
                <w:kern w:val="0"/>
                <w:lang w:eastAsia="it-IT"/>
                <w14:ligatures w14:val="none"/>
              </w:rPr>
              <w:t> </w:t>
            </w:r>
          </w:p>
        </w:tc>
        <w:tc>
          <w:tcPr>
            <w:tcW w:w="638" w:type="pct"/>
            <w:shd w:val="clear" w:color="auto" w:fill="auto"/>
            <w:noWrap/>
            <w:vAlign w:val="bottom"/>
            <w:hideMark/>
          </w:tcPr>
          <w:p w14:paraId="34573AF3" w14:textId="77777777" w:rsidR="006C6580" w:rsidRPr="006C6580" w:rsidRDefault="006C6580" w:rsidP="006C6580">
            <w:pPr>
              <w:spacing w:after="0" w:line="240" w:lineRule="auto"/>
              <w:rPr>
                <w:rFonts w:eastAsia="Times New Roman" w:cs="Calibri"/>
                <w:color w:val="000000"/>
                <w:kern w:val="0"/>
                <w:lang w:eastAsia="it-IT"/>
                <w14:ligatures w14:val="none"/>
              </w:rPr>
            </w:pPr>
            <w:r w:rsidRPr="006C6580">
              <w:rPr>
                <w:rFonts w:eastAsia="Times New Roman" w:cs="Calibri"/>
                <w:color w:val="000000"/>
                <w:kern w:val="0"/>
                <w:lang w:eastAsia="it-IT"/>
                <w14:ligatures w14:val="none"/>
              </w:rPr>
              <w:t> </w:t>
            </w:r>
          </w:p>
        </w:tc>
      </w:tr>
      <w:tr w:rsidR="006C6580" w:rsidRPr="006C6580" w14:paraId="68723EA1" w14:textId="77777777" w:rsidTr="006C6580">
        <w:trPr>
          <w:trHeight w:val="300"/>
        </w:trPr>
        <w:tc>
          <w:tcPr>
            <w:tcW w:w="1781" w:type="pct"/>
            <w:shd w:val="clear" w:color="auto" w:fill="auto"/>
            <w:noWrap/>
            <w:vAlign w:val="center"/>
            <w:hideMark/>
          </w:tcPr>
          <w:p w14:paraId="0DEAEAC4" w14:textId="77777777" w:rsidR="006C6580" w:rsidRPr="006C6580" w:rsidRDefault="006C6580" w:rsidP="006C6580">
            <w:pPr>
              <w:spacing w:after="0" w:line="240" w:lineRule="auto"/>
              <w:rPr>
                <w:rFonts w:eastAsia="Times New Roman" w:cs="Calibri"/>
                <w:color w:val="000000"/>
                <w:kern w:val="0"/>
                <w:lang w:eastAsia="it-IT"/>
                <w14:ligatures w14:val="none"/>
              </w:rPr>
            </w:pPr>
            <w:r w:rsidRPr="006C6580">
              <w:rPr>
                <w:rFonts w:eastAsia="Times New Roman" w:cs="Calibri"/>
                <w:color w:val="000000"/>
                <w:kern w:val="0"/>
                <w:lang w:eastAsia="it-IT"/>
                <w14:ligatures w14:val="none"/>
              </w:rPr>
              <w:t>Meno di 50</w:t>
            </w:r>
          </w:p>
        </w:tc>
        <w:tc>
          <w:tcPr>
            <w:tcW w:w="666" w:type="pct"/>
            <w:shd w:val="clear" w:color="auto" w:fill="auto"/>
            <w:noWrap/>
            <w:vAlign w:val="center"/>
            <w:hideMark/>
          </w:tcPr>
          <w:p w14:paraId="083D2445" w14:textId="0B6D4AA2" w:rsidR="006C6580" w:rsidRPr="006C6580" w:rsidRDefault="006C6580" w:rsidP="006C6580">
            <w:pPr>
              <w:spacing w:after="0" w:line="240" w:lineRule="auto"/>
              <w:jc w:val="center"/>
              <w:rPr>
                <w:rFonts w:eastAsia="Times New Roman" w:cs="Calibri"/>
                <w:color w:val="000000"/>
                <w:kern w:val="0"/>
                <w:lang w:eastAsia="it-IT"/>
                <w14:ligatures w14:val="none"/>
              </w:rPr>
            </w:pPr>
            <w:r w:rsidRPr="006C6580">
              <w:rPr>
                <w:rFonts w:eastAsia="Times New Roman" w:cs="Calibri"/>
                <w:color w:val="000000"/>
                <w:kern w:val="0"/>
                <w:lang w:eastAsia="it-IT"/>
                <w14:ligatures w14:val="none"/>
              </w:rPr>
              <w:t>16,3</w:t>
            </w:r>
          </w:p>
        </w:tc>
        <w:tc>
          <w:tcPr>
            <w:tcW w:w="638" w:type="pct"/>
            <w:shd w:val="clear" w:color="auto" w:fill="auto"/>
            <w:noWrap/>
            <w:vAlign w:val="center"/>
            <w:hideMark/>
          </w:tcPr>
          <w:p w14:paraId="2CA50DFC" w14:textId="7AD4F187" w:rsidR="006C6580" w:rsidRPr="006C6580" w:rsidRDefault="006C6580" w:rsidP="006C6580">
            <w:pPr>
              <w:spacing w:after="0" w:line="240" w:lineRule="auto"/>
              <w:jc w:val="center"/>
              <w:rPr>
                <w:rFonts w:eastAsia="Times New Roman" w:cs="Calibri"/>
                <w:color w:val="000000"/>
                <w:kern w:val="0"/>
                <w:lang w:eastAsia="it-IT"/>
                <w14:ligatures w14:val="none"/>
              </w:rPr>
            </w:pPr>
            <w:r w:rsidRPr="006C6580">
              <w:rPr>
                <w:rFonts w:eastAsia="Times New Roman" w:cs="Calibri"/>
                <w:color w:val="000000"/>
                <w:kern w:val="0"/>
                <w:lang w:eastAsia="it-IT"/>
                <w14:ligatures w14:val="none"/>
              </w:rPr>
              <w:t>38,2</w:t>
            </w:r>
          </w:p>
        </w:tc>
        <w:tc>
          <w:tcPr>
            <w:tcW w:w="638" w:type="pct"/>
            <w:shd w:val="clear" w:color="auto" w:fill="auto"/>
            <w:noWrap/>
            <w:vAlign w:val="center"/>
            <w:hideMark/>
          </w:tcPr>
          <w:p w14:paraId="531648C0" w14:textId="5642CF96" w:rsidR="006C6580" w:rsidRPr="006C6580" w:rsidRDefault="006C6580" w:rsidP="006C6580">
            <w:pPr>
              <w:spacing w:after="0" w:line="240" w:lineRule="auto"/>
              <w:jc w:val="center"/>
              <w:rPr>
                <w:rFonts w:eastAsia="Times New Roman" w:cs="Calibri"/>
                <w:color w:val="000000"/>
                <w:kern w:val="0"/>
                <w:lang w:eastAsia="it-IT"/>
                <w14:ligatures w14:val="none"/>
              </w:rPr>
            </w:pPr>
            <w:r w:rsidRPr="006C6580">
              <w:rPr>
                <w:rFonts w:eastAsia="Times New Roman" w:cs="Calibri"/>
                <w:color w:val="000000"/>
                <w:kern w:val="0"/>
                <w:lang w:eastAsia="it-IT"/>
                <w14:ligatures w14:val="none"/>
              </w:rPr>
              <w:t>44,2</w:t>
            </w:r>
          </w:p>
        </w:tc>
        <w:tc>
          <w:tcPr>
            <w:tcW w:w="638" w:type="pct"/>
            <w:shd w:val="clear" w:color="auto" w:fill="auto"/>
            <w:noWrap/>
            <w:vAlign w:val="center"/>
            <w:hideMark/>
          </w:tcPr>
          <w:p w14:paraId="18F1BD2D" w14:textId="5C229DF5" w:rsidR="006C6580" w:rsidRPr="006C6580" w:rsidRDefault="006C6580" w:rsidP="006C6580">
            <w:pPr>
              <w:spacing w:after="0" w:line="240" w:lineRule="auto"/>
              <w:jc w:val="center"/>
              <w:rPr>
                <w:rFonts w:eastAsia="Times New Roman" w:cs="Calibri"/>
                <w:color w:val="000000"/>
                <w:kern w:val="0"/>
                <w:lang w:eastAsia="it-IT"/>
                <w14:ligatures w14:val="none"/>
              </w:rPr>
            </w:pPr>
            <w:r w:rsidRPr="006C6580">
              <w:rPr>
                <w:rFonts w:eastAsia="Times New Roman" w:cs="Calibri"/>
                <w:color w:val="000000"/>
                <w:kern w:val="0"/>
                <w:lang w:eastAsia="it-IT"/>
                <w14:ligatures w14:val="none"/>
              </w:rPr>
              <w:t>1,3</w:t>
            </w:r>
          </w:p>
        </w:tc>
        <w:tc>
          <w:tcPr>
            <w:tcW w:w="638" w:type="pct"/>
            <w:shd w:val="clear" w:color="auto" w:fill="auto"/>
            <w:noWrap/>
            <w:vAlign w:val="center"/>
            <w:hideMark/>
          </w:tcPr>
          <w:p w14:paraId="0CF32F82" w14:textId="3712B27F" w:rsidR="006C6580" w:rsidRPr="006C6580" w:rsidRDefault="006C6580" w:rsidP="006C6580">
            <w:pPr>
              <w:spacing w:after="0" w:line="240" w:lineRule="auto"/>
              <w:jc w:val="center"/>
              <w:rPr>
                <w:rFonts w:eastAsia="Times New Roman" w:cs="Calibri"/>
                <w:color w:val="000000"/>
                <w:kern w:val="0"/>
                <w:lang w:eastAsia="it-IT"/>
                <w14:ligatures w14:val="none"/>
              </w:rPr>
            </w:pPr>
            <w:r w:rsidRPr="006C6580">
              <w:rPr>
                <w:rFonts w:eastAsia="Times New Roman" w:cs="Calibri"/>
                <w:color w:val="000000"/>
                <w:kern w:val="0"/>
                <w:lang w:eastAsia="it-IT"/>
                <w14:ligatures w14:val="none"/>
              </w:rPr>
              <w:t>100</w:t>
            </w:r>
          </w:p>
        </w:tc>
      </w:tr>
      <w:tr w:rsidR="006C6580" w:rsidRPr="006C6580" w14:paraId="4A979993" w14:textId="77777777" w:rsidTr="006C6580">
        <w:trPr>
          <w:trHeight w:val="300"/>
        </w:trPr>
        <w:tc>
          <w:tcPr>
            <w:tcW w:w="1781" w:type="pct"/>
            <w:shd w:val="clear" w:color="auto" w:fill="auto"/>
            <w:noWrap/>
            <w:vAlign w:val="center"/>
            <w:hideMark/>
          </w:tcPr>
          <w:p w14:paraId="01D98D5E" w14:textId="77777777" w:rsidR="006C6580" w:rsidRPr="006C6580" w:rsidRDefault="006C6580" w:rsidP="006C6580">
            <w:pPr>
              <w:spacing w:after="0" w:line="240" w:lineRule="auto"/>
              <w:rPr>
                <w:rFonts w:eastAsia="Times New Roman" w:cs="Calibri"/>
                <w:color w:val="000000"/>
                <w:kern w:val="0"/>
                <w:lang w:eastAsia="it-IT"/>
                <w14:ligatures w14:val="none"/>
              </w:rPr>
            </w:pPr>
            <w:r w:rsidRPr="006C6580">
              <w:rPr>
                <w:rFonts w:eastAsia="Times New Roman" w:cs="Calibri"/>
                <w:color w:val="000000"/>
                <w:kern w:val="0"/>
                <w:lang w:eastAsia="it-IT"/>
                <w14:ligatures w14:val="none"/>
              </w:rPr>
              <w:t>50 e più</w:t>
            </w:r>
          </w:p>
        </w:tc>
        <w:tc>
          <w:tcPr>
            <w:tcW w:w="666" w:type="pct"/>
            <w:shd w:val="clear" w:color="auto" w:fill="auto"/>
            <w:noWrap/>
            <w:vAlign w:val="center"/>
            <w:hideMark/>
          </w:tcPr>
          <w:p w14:paraId="121111B0" w14:textId="63567A97" w:rsidR="006C6580" w:rsidRPr="006C6580" w:rsidRDefault="006C6580" w:rsidP="006C6580">
            <w:pPr>
              <w:spacing w:after="0" w:line="240" w:lineRule="auto"/>
              <w:jc w:val="center"/>
              <w:rPr>
                <w:rFonts w:eastAsia="Times New Roman" w:cs="Calibri"/>
                <w:color w:val="000000"/>
                <w:kern w:val="0"/>
                <w:lang w:eastAsia="it-IT"/>
                <w14:ligatures w14:val="none"/>
              </w:rPr>
            </w:pPr>
            <w:r w:rsidRPr="006C6580">
              <w:rPr>
                <w:rFonts w:eastAsia="Times New Roman" w:cs="Calibri"/>
                <w:color w:val="000000"/>
                <w:kern w:val="0"/>
                <w:lang w:eastAsia="it-IT"/>
                <w14:ligatures w14:val="none"/>
              </w:rPr>
              <w:t>14,1</w:t>
            </w:r>
          </w:p>
        </w:tc>
        <w:tc>
          <w:tcPr>
            <w:tcW w:w="638" w:type="pct"/>
            <w:shd w:val="clear" w:color="auto" w:fill="auto"/>
            <w:noWrap/>
            <w:vAlign w:val="center"/>
            <w:hideMark/>
          </w:tcPr>
          <w:p w14:paraId="33E04BCE" w14:textId="07A9E580" w:rsidR="006C6580" w:rsidRPr="006C6580" w:rsidRDefault="006C6580" w:rsidP="006C6580">
            <w:pPr>
              <w:spacing w:after="0" w:line="240" w:lineRule="auto"/>
              <w:jc w:val="center"/>
              <w:rPr>
                <w:rFonts w:eastAsia="Times New Roman" w:cs="Calibri"/>
                <w:color w:val="000000"/>
                <w:kern w:val="0"/>
                <w:lang w:eastAsia="it-IT"/>
                <w14:ligatures w14:val="none"/>
              </w:rPr>
            </w:pPr>
            <w:r w:rsidRPr="006C6580">
              <w:rPr>
                <w:rFonts w:eastAsia="Times New Roman" w:cs="Calibri"/>
                <w:color w:val="000000"/>
                <w:kern w:val="0"/>
                <w:lang w:eastAsia="it-IT"/>
                <w14:ligatures w14:val="none"/>
              </w:rPr>
              <w:t>49,3</w:t>
            </w:r>
          </w:p>
        </w:tc>
        <w:tc>
          <w:tcPr>
            <w:tcW w:w="638" w:type="pct"/>
            <w:shd w:val="clear" w:color="auto" w:fill="auto"/>
            <w:noWrap/>
            <w:vAlign w:val="center"/>
            <w:hideMark/>
          </w:tcPr>
          <w:p w14:paraId="3EC8F787" w14:textId="1BD60F88" w:rsidR="006C6580" w:rsidRPr="006C6580" w:rsidRDefault="006C6580" w:rsidP="006C6580">
            <w:pPr>
              <w:spacing w:after="0" w:line="240" w:lineRule="auto"/>
              <w:jc w:val="center"/>
              <w:rPr>
                <w:rFonts w:eastAsia="Times New Roman" w:cs="Calibri"/>
                <w:color w:val="000000"/>
                <w:kern w:val="0"/>
                <w:lang w:eastAsia="it-IT"/>
                <w14:ligatures w14:val="none"/>
              </w:rPr>
            </w:pPr>
            <w:r w:rsidRPr="006C6580">
              <w:rPr>
                <w:rFonts w:eastAsia="Times New Roman" w:cs="Calibri"/>
                <w:color w:val="000000"/>
                <w:kern w:val="0"/>
                <w:lang w:eastAsia="it-IT"/>
                <w14:ligatures w14:val="none"/>
              </w:rPr>
              <w:t>33,5</w:t>
            </w:r>
          </w:p>
        </w:tc>
        <w:tc>
          <w:tcPr>
            <w:tcW w:w="638" w:type="pct"/>
            <w:shd w:val="clear" w:color="auto" w:fill="auto"/>
            <w:noWrap/>
            <w:vAlign w:val="center"/>
            <w:hideMark/>
          </w:tcPr>
          <w:p w14:paraId="3ECCB9C7" w14:textId="7E1E9870" w:rsidR="006C6580" w:rsidRPr="006C6580" w:rsidRDefault="006C6580" w:rsidP="006C6580">
            <w:pPr>
              <w:spacing w:after="0" w:line="240" w:lineRule="auto"/>
              <w:jc w:val="center"/>
              <w:rPr>
                <w:rFonts w:eastAsia="Times New Roman" w:cs="Calibri"/>
                <w:color w:val="000000"/>
                <w:kern w:val="0"/>
                <w:lang w:eastAsia="it-IT"/>
                <w14:ligatures w14:val="none"/>
              </w:rPr>
            </w:pPr>
            <w:r w:rsidRPr="006C6580">
              <w:rPr>
                <w:rFonts w:eastAsia="Times New Roman" w:cs="Calibri"/>
                <w:color w:val="000000"/>
                <w:kern w:val="0"/>
                <w:lang w:eastAsia="it-IT"/>
                <w14:ligatures w14:val="none"/>
              </w:rPr>
              <w:t>3,1</w:t>
            </w:r>
          </w:p>
        </w:tc>
        <w:tc>
          <w:tcPr>
            <w:tcW w:w="638" w:type="pct"/>
            <w:shd w:val="clear" w:color="auto" w:fill="auto"/>
            <w:noWrap/>
            <w:vAlign w:val="center"/>
            <w:hideMark/>
          </w:tcPr>
          <w:p w14:paraId="4EFFE8ED" w14:textId="76CAFE30" w:rsidR="006C6580" w:rsidRPr="006C6580" w:rsidRDefault="006C6580" w:rsidP="006C6580">
            <w:pPr>
              <w:spacing w:after="0" w:line="240" w:lineRule="auto"/>
              <w:jc w:val="center"/>
              <w:rPr>
                <w:rFonts w:eastAsia="Times New Roman" w:cs="Calibri"/>
                <w:color w:val="000000"/>
                <w:kern w:val="0"/>
                <w:lang w:eastAsia="it-IT"/>
                <w14:ligatures w14:val="none"/>
              </w:rPr>
            </w:pPr>
            <w:r w:rsidRPr="006C6580">
              <w:rPr>
                <w:rFonts w:eastAsia="Times New Roman" w:cs="Calibri"/>
                <w:color w:val="000000"/>
                <w:kern w:val="0"/>
                <w:lang w:eastAsia="it-IT"/>
                <w14:ligatures w14:val="none"/>
              </w:rPr>
              <w:t>100</w:t>
            </w:r>
          </w:p>
        </w:tc>
      </w:tr>
      <w:tr w:rsidR="006C6580" w:rsidRPr="006C6580" w14:paraId="4CC56346" w14:textId="77777777" w:rsidTr="006C6580">
        <w:trPr>
          <w:trHeight w:val="300"/>
        </w:trPr>
        <w:tc>
          <w:tcPr>
            <w:tcW w:w="2447" w:type="pct"/>
            <w:gridSpan w:val="2"/>
            <w:shd w:val="clear" w:color="auto" w:fill="auto"/>
            <w:noWrap/>
            <w:vAlign w:val="center"/>
            <w:hideMark/>
          </w:tcPr>
          <w:p w14:paraId="34EB6F33" w14:textId="77777777" w:rsidR="006C6580" w:rsidRPr="006C6580" w:rsidRDefault="006C6580" w:rsidP="006C6580">
            <w:pPr>
              <w:spacing w:after="0" w:line="240" w:lineRule="auto"/>
              <w:rPr>
                <w:rFonts w:eastAsia="Times New Roman" w:cs="Calibri"/>
                <w:b/>
                <w:bCs/>
                <w:color w:val="000000"/>
                <w:kern w:val="0"/>
                <w:lang w:eastAsia="it-IT"/>
                <w14:ligatures w14:val="none"/>
              </w:rPr>
            </w:pPr>
            <w:r w:rsidRPr="006C6580">
              <w:rPr>
                <w:rFonts w:eastAsia="Times New Roman" w:cs="Calibri"/>
                <w:b/>
                <w:bCs/>
                <w:color w:val="000000"/>
                <w:kern w:val="0"/>
                <w:lang w:eastAsia="it-IT"/>
                <w14:ligatures w14:val="none"/>
              </w:rPr>
              <w:t>Intensità di esportazione</w:t>
            </w:r>
          </w:p>
        </w:tc>
        <w:tc>
          <w:tcPr>
            <w:tcW w:w="638" w:type="pct"/>
            <w:shd w:val="clear" w:color="auto" w:fill="auto"/>
            <w:noWrap/>
            <w:vAlign w:val="bottom"/>
            <w:hideMark/>
          </w:tcPr>
          <w:p w14:paraId="4715C65A" w14:textId="77777777" w:rsidR="006C6580" w:rsidRPr="006C6580" w:rsidRDefault="006C6580" w:rsidP="006C6580">
            <w:pPr>
              <w:spacing w:after="0" w:line="240" w:lineRule="auto"/>
              <w:rPr>
                <w:rFonts w:eastAsia="Times New Roman" w:cs="Calibri"/>
                <w:color w:val="000000"/>
                <w:kern w:val="0"/>
                <w:lang w:eastAsia="it-IT"/>
                <w14:ligatures w14:val="none"/>
              </w:rPr>
            </w:pPr>
            <w:r w:rsidRPr="006C6580">
              <w:rPr>
                <w:rFonts w:eastAsia="Times New Roman" w:cs="Calibri"/>
                <w:color w:val="000000"/>
                <w:kern w:val="0"/>
                <w:lang w:eastAsia="it-IT"/>
                <w14:ligatures w14:val="none"/>
              </w:rPr>
              <w:t> </w:t>
            </w:r>
          </w:p>
        </w:tc>
        <w:tc>
          <w:tcPr>
            <w:tcW w:w="638" w:type="pct"/>
            <w:shd w:val="clear" w:color="auto" w:fill="auto"/>
            <w:noWrap/>
            <w:vAlign w:val="bottom"/>
            <w:hideMark/>
          </w:tcPr>
          <w:p w14:paraId="296747D5" w14:textId="77777777" w:rsidR="006C6580" w:rsidRPr="006C6580" w:rsidRDefault="006C6580" w:rsidP="006C6580">
            <w:pPr>
              <w:spacing w:after="0" w:line="240" w:lineRule="auto"/>
              <w:rPr>
                <w:rFonts w:eastAsia="Times New Roman" w:cs="Calibri"/>
                <w:color w:val="000000"/>
                <w:kern w:val="0"/>
                <w:lang w:eastAsia="it-IT"/>
                <w14:ligatures w14:val="none"/>
              </w:rPr>
            </w:pPr>
            <w:r w:rsidRPr="006C6580">
              <w:rPr>
                <w:rFonts w:eastAsia="Times New Roman" w:cs="Calibri"/>
                <w:color w:val="000000"/>
                <w:kern w:val="0"/>
                <w:lang w:eastAsia="it-IT"/>
                <w14:ligatures w14:val="none"/>
              </w:rPr>
              <w:t> </w:t>
            </w:r>
          </w:p>
        </w:tc>
        <w:tc>
          <w:tcPr>
            <w:tcW w:w="638" w:type="pct"/>
            <w:shd w:val="clear" w:color="auto" w:fill="auto"/>
            <w:noWrap/>
            <w:vAlign w:val="bottom"/>
            <w:hideMark/>
          </w:tcPr>
          <w:p w14:paraId="7A3B87BF" w14:textId="77777777" w:rsidR="006C6580" w:rsidRPr="006C6580" w:rsidRDefault="006C6580" w:rsidP="006C6580">
            <w:pPr>
              <w:spacing w:after="0" w:line="240" w:lineRule="auto"/>
              <w:rPr>
                <w:rFonts w:eastAsia="Times New Roman" w:cs="Calibri"/>
                <w:color w:val="000000"/>
                <w:kern w:val="0"/>
                <w:lang w:eastAsia="it-IT"/>
                <w14:ligatures w14:val="none"/>
              </w:rPr>
            </w:pPr>
            <w:r w:rsidRPr="006C6580">
              <w:rPr>
                <w:rFonts w:eastAsia="Times New Roman" w:cs="Calibri"/>
                <w:color w:val="000000"/>
                <w:kern w:val="0"/>
                <w:lang w:eastAsia="it-IT"/>
                <w14:ligatures w14:val="none"/>
              </w:rPr>
              <w:t> </w:t>
            </w:r>
          </w:p>
        </w:tc>
        <w:tc>
          <w:tcPr>
            <w:tcW w:w="638" w:type="pct"/>
            <w:shd w:val="clear" w:color="auto" w:fill="auto"/>
            <w:noWrap/>
            <w:vAlign w:val="bottom"/>
            <w:hideMark/>
          </w:tcPr>
          <w:p w14:paraId="58D3B4A1" w14:textId="77777777" w:rsidR="006C6580" w:rsidRPr="006C6580" w:rsidRDefault="006C6580" w:rsidP="006C6580">
            <w:pPr>
              <w:spacing w:after="0" w:line="240" w:lineRule="auto"/>
              <w:rPr>
                <w:rFonts w:eastAsia="Times New Roman" w:cs="Calibri"/>
                <w:color w:val="000000"/>
                <w:kern w:val="0"/>
                <w:lang w:eastAsia="it-IT"/>
                <w14:ligatures w14:val="none"/>
              </w:rPr>
            </w:pPr>
            <w:r w:rsidRPr="006C6580">
              <w:rPr>
                <w:rFonts w:eastAsia="Times New Roman" w:cs="Calibri"/>
                <w:color w:val="000000"/>
                <w:kern w:val="0"/>
                <w:lang w:eastAsia="it-IT"/>
                <w14:ligatures w14:val="none"/>
              </w:rPr>
              <w:t> </w:t>
            </w:r>
          </w:p>
        </w:tc>
      </w:tr>
      <w:tr w:rsidR="006C6580" w:rsidRPr="006C6580" w14:paraId="06476B4D" w14:textId="77777777" w:rsidTr="006C6580">
        <w:trPr>
          <w:trHeight w:val="300"/>
        </w:trPr>
        <w:tc>
          <w:tcPr>
            <w:tcW w:w="1781" w:type="pct"/>
            <w:shd w:val="clear" w:color="auto" w:fill="auto"/>
            <w:noWrap/>
            <w:vAlign w:val="center"/>
            <w:hideMark/>
          </w:tcPr>
          <w:p w14:paraId="4B7E45A7" w14:textId="77777777" w:rsidR="006C6580" w:rsidRPr="006C6580" w:rsidRDefault="006C6580" w:rsidP="006C6580">
            <w:pPr>
              <w:spacing w:after="0" w:line="240" w:lineRule="auto"/>
              <w:rPr>
                <w:rFonts w:eastAsia="Times New Roman" w:cs="Calibri"/>
                <w:color w:val="000000"/>
                <w:kern w:val="0"/>
                <w:lang w:eastAsia="it-IT"/>
                <w14:ligatures w14:val="none"/>
              </w:rPr>
            </w:pPr>
            <w:r w:rsidRPr="006C6580">
              <w:rPr>
                <w:rFonts w:eastAsia="Times New Roman" w:cs="Calibri"/>
                <w:color w:val="000000"/>
                <w:kern w:val="0"/>
                <w:lang w:eastAsia="it-IT"/>
                <w14:ligatures w14:val="none"/>
              </w:rPr>
              <w:t>Esportatrici</w:t>
            </w:r>
          </w:p>
        </w:tc>
        <w:tc>
          <w:tcPr>
            <w:tcW w:w="666" w:type="pct"/>
            <w:shd w:val="clear" w:color="auto" w:fill="auto"/>
            <w:noWrap/>
            <w:vAlign w:val="center"/>
            <w:hideMark/>
          </w:tcPr>
          <w:p w14:paraId="4642ED9C" w14:textId="6486813B" w:rsidR="006C6580" w:rsidRPr="006C6580" w:rsidRDefault="006C6580" w:rsidP="006C6580">
            <w:pPr>
              <w:spacing w:after="0" w:line="240" w:lineRule="auto"/>
              <w:jc w:val="center"/>
              <w:rPr>
                <w:rFonts w:eastAsia="Times New Roman" w:cs="Calibri"/>
                <w:color w:val="000000"/>
                <w:kern w:val="0"/>
                <w:lang w:eastAsia="it-IT"/>
                <w14:ligatures w14:val="none"/>
              </w:rPr>
            </w:pPr>
            <w:r w:rsidRPr="006C6580">
              <w:rPr>
                <w:rFonts w:eastAsia="Times New Roman" w:cs="Calibri"/>
                <w:color w:val="000000"/>
                <w:kern w:val="0"/>
                <w:lang w:eastAsia="it-IT"/>
                <w14:ligatures w14:val="none"/>
              </w:rPr>
              <w:t>12,0</w:t>
            </w:r>
          </w:p>
        </w:tc>
        <w:tc>
          <w:tcPr>
            <w:tcW w:w="638" w:type="pct"/>
            <w:shd w:val="clear" w:color="auto" w:fill="auto"/>
            <w:noWrap/>
            <w:vAlign w:val="center"/>
            <w:hideMark/>
          </w:tcPr>
          <w:p w14:paraId="10A260A0" w14:textId="17188FC6" w:rsidR="006C6580" w:rsidRPr="006C6580" w:rsidRDefault="006C6580" w:rsidP="006C6580">
            <w:pPr>
              <w:spacing w:after="0" w:line="240" w:lineRule="auto"/>
              <w:jc w:val="center"/>
              <w:rPr>
                <w:rFonts w:eastAsia="Times New Roman" w:cs="Calibri"/>
                <w:color w:val="000000"/>
                <w:kern w:val="0"/>
                <w:lang w:eastAsia="it-IT"/>
                <w14:ligatures w14:val="none"/>
              </w:rPr>
            </w:pPr>
            <w:r w:rsidRPr="006C6580">
              <w:rPr>
                <w:rFonts w:eastAsia="Times New Roman" w:cs="Calibri"/>
                <w:color w:val="000000"/>
                <w:kern w:val="0"/>
                <w:lang w:eastAsia="it-IT"/>
                <w14:ligatures w14:val="none"/>
              </w:rPr>
              <w:t>45,9</w:t>
            </w:r>
          </w:p>
        </w:tc>
        <w:tc>
          <w:tcPr>
            <w:tcW w:w="638" w:type="pct"/>
            <w:shd w:val="clear" w:color="auto" w:fill="auto"/>
            <w:noWrap/>
            <w:vAlign w:val="center"/>
            <w:hideMark/>
          </w:tcPr>
          <w:p w14:paraId="4061A3A1" w14:textId="24506284" w:rsidR="006C6580" w:rsidRPr="006C6580" w:rsidRDefault="006C6580" w:rsidP="006C6580">
            <w:pPr>
              <w:spacing w:after="0" w:line="240" w:lineRule="auto"/>
              <w:jc w:val="center"/>
              <w:rPr>
                <w:rFonts w:eastAsia="Times New Roman" w:cs="Calibri"/>
                <w:color w:val="000000"/>
                <w:kern w:val="0"/>
                <w:lang w:eastAsia="it-IT"/>
                <w14:ligatures w14:val="none"/>
              </w:rPr>
            </w:pPr>
            <w:r w:rsidRPr="006C6580">
              <w:rPr>
                <w:rFonts w:eastAsia="Times New Roman" w:cs="Calibri"/>
                <w:color w:val="000000"/>
                <w:kern w:val="0"/>
                <w:lang w:eastAsia="it-IT"/>
                <w14:ligatures w14:val="none"/>
              </w:rPr>
              <w:t>39,0</w:t>
            </w:r>
          </w:p>
        </w:tc>
        <w:tc>
          <w:tcPr>
            <w:tcW w:w="638" w:type="pct"/>
            <w:shd w:val="clear" w:color="auto" w:fill="auto"/>
            <w:noWrap/>
            <w:vAlign w:val="center"/>
            <w:hideMark/>
          </w:tcPr>
          <w:p w14:paraId="7CCF3898" w14:textId="3AE035A6" w:rsidR="006C6580" w:rsidRPr="006C6580" w:rsidRDefault="006C6580" w:rsidP="006C6580">
            <w:pPr>
              <w:spacing w:after="0" w:line="240" w:lineRule="auto"/>
              <w:jc w:val="center"/>
              <w:rPr>
                <w:rFonts w:eastAsia="Times New Roman" w:cs="Calibri"/>
                <w:color w:val="000000"/>
                <w:kern w:val="0"/>
                <w:lang w:eastAsia="it-IT"/>
                <w14:ligatures w14:val="none"/>
              </w:rPr>
            </w:pPr>
            <w:r w:rsidRPr="006C6580">
              <w:rPr>
                <w:rFonts w:eastAsia="Times New Roman" w:cs="Calibri"/>
                <w:color w:val="000000"/>
                <w:kern w:val="0"/>
                <w:lang w:eastAsia="it-IT"/>
                <w14:ligatures w14:val="none"/>
              </w:rPr>
              <w:t>3,1</w:t>
            </w:r>
          </w:p>
        </w:tc>
        <w:tc>
          <w:tcPr>
            <w:tcW w:w="638" w:type="pct"/>
            <w:shd w:val="clear" w:color="auto" w:fill="auto"/>
            <w:noWrap/>
            <w:vAlign w:val="center"/>
            <w:hideMark/>
          </w:tcPr>
          <w:p w14:paraId="34BB08A5" w14:textId="4676F706" w:rsidR="006C6580" w:rsidRPr="006C6580" w:rsidRDefault="006C6580" w:rsidP="006C6580">
            <w:pPr>
              <w:spacing w:after="0" w:line="240" w:lineRule="auto"/>
              <w:jc w:val="center"/>
              <w:rPr>
                <w:rFonts w:eastAsia="Times New Roman" w:cs="Calibri"/>
                <w:color w:val="000000"/>
                <w:kern w:val="0"/>
                <w:lang w:eastAsia="it-IT"/>
                <w14:ligatures w14:val="none"/>
              </w:rPr>
            </w:pPr>
            <w:r w:rsidRPr="006C6580">
              <w:rPr>
                <w:rFonts w:eastAsia="Times New Roman" w:cs="Calibri"/>
                <w:color w:val="000000"/>
                <w:kern w:val="0"/>
                <w:lang w:eastAsia="it-IT"/>
                <w14:ligatures w14:val="none"/>
              </w:rPr>
              <w:t>100</w:t>
            </w:r>
          </w:p>
        </w:tc>
      </w:tr>
      <w:tr w:rsidR="006C6580" w:rsidRPr="006C6580" w14:paraId="5E2B28F8" w14:textId="77777777" w:rsidTr="006C6580">
        <w:trPr>
          <w:trHeight w:val="300"/>
        </w:trPr>
        <w:tc>
          <w:tcPr>
            <w:tcW w:w="1781" w:type="pct"/>
            <w:shd w:val="clear" w:color="auto" w:fill="auto"/>
            <w:noWrap/>
            <w:vAlign w:val="center"/>
            <w:hideMark/>
          </w:tcPr>
          <w:p w14:paraId="7CEC15C7" w14:textId="77777777" w:rsidR="006C6580" w:rsidRPr="006C6580" w:rsidRDefault="006C6580" w:rsidP="006C6580">
            <w:pPr>
              <w:spacing w:after="0" w:line="240" w:lineRule="auto"/>
              <w:rPr>
                <w:rFonts w:eastAsia="Times New Roman" w:cs="Calibri"/>
                <w:color w:val="000000"/>
                <w:kern w:val="0"/>
                <w:lang w:eastAsia="it-IT"/>
                <w14:ligatures w14:val="none"/>
              </w:rPr>
            </w:pPr>
            <w:r w:rsidRPr="006C6580">
              <w:rPr>
                <w:rFonts w:eastAsia="Times New Roman" w:cs="Calibri"/>
                <w:color w:val="000000"/>
                <w:kern w:val="0"/>
                <w:lang w:eastAsia="it-IT"/>
                <w14:ligatures w14:val="none"/>
              </w:rPr>
              <w:t>Esportatrici forti</w:t>
            </w:r>
          </w:p>
        </w:tc>
        <w:tc>
          <w:tcPr>
            <w:tcW w:w="666" w:type="pct"/>
            <w:shd w:val="clear" w:color="auto" w:fill="auto"/>
            <w:noWrap/>
            <w:vAlign w:val="center"/>
            <w:hideMark/>
          </w:tcPr>
          <w:p w14:paraId="080C64F7" w14:textId="5CEF733A" w:rsidR="006C6580" w:rsidRPr="006C6580" w:rsidRDefault="006C6580" w:rsidP="006C6580">
            <w:pPr>
              <w:spacing w:after="0" w:line="240" w:lineRule="auto"/>
              <w:jc w:val="center"/>
              <w:rPr>
                <w:rFonts w:eastAsia="Times New Roman" w:cs="Calibri"/>
                <w:color w:val="000000"/>
                <w:kern w:val="0"/>
                <w:lang w:eastAsia="it-IT"/>
                <w14:ligatures w14:val="none"/>
              </w:rPr>
            </w:pPr>
            <w:r w:rsidRPr="006C6580">
              <w:rPr>
                <w:rFonts w:eastAsia="Times New Roman" w:cs="Calibri"/>
                <w:color w:val="000000"/>
                <w:kern w:val="0"/>
                <w:lang w:eastAsia="it-IT"/>
                <w14:ligatures w14:val="none"/>
              </w:rPr>
              <w:t>22,3</w:t>
            </w:r>
          </w:p>
        </w:tc>
        <w:tc>
          <w:tcPr>
            <w:tcW w:w="638" w:type="pct"/>
            <w:shd w:val="clear" w:color="auto" w:fill="auto"/>
            <w:noWrap/>
            <w:vAlign w:val="center"/>
            <w:hideMark/>
          </w:tcPr>
          <w:p w14:paraId="5E89F9F9" w14:textId="69244DF0" w:rsidR="006C6580" w:rsidRPr="006C6580" w:rsidRDefault="006C6580" w:rsidP="006C6580">
            <w:pPr>
              <w:spacing w:after="0" w:line="240" w:lineRule="auto"/>
              <w:jc w:val="center"/>
              <w:rPr>
                <w:rFonts w:eastAsia="Times New Roman" w:cs="Calibri"/>
                <w:color w:val="000000"/>
                <w:kern w:val="0"/>
                <w:lang w:eastAsia="it-IT"/>
                <w14:ligatures w14:val="none"/>
              </w:rPr>
            </w:pPr>
            <w:r w:rsidRPr="006C6580">
              <w:rPr>
                <w:rFonts w:eastAsia="Times New Roman" w:cs="Calibri"/>
                <w:color w:val="000000"/>
                <w:kern w:val="0"/>
                <w:lang w:eastAsia="it-IT"/>
                <w14:ligatures w14:val="none"/>
              </w:rPr>
              <w:t>36,0</w:t>
            </w:r>
          </w:p>
        </w:tc>
        <w:tc>
          <w:tcPr>
            <w:tcW w:w="638" w:type="pct"/>
            <w:shd w:val="clear" w:color="auto" w:fill="auto"/>
            <w:noWrap/>
            <w:vAlign w:val="center"/>
            <w:hideMark/>
          </w:tcPr>
          <w:p w14:paraId="6E479FAB" w14:textId="30CED02C" w:rsidR="006C6580" w:rsidRPr="006C6580" w:rsidRDefault="006C6580" w:rsidP="006C6580">
            <w:pPr>
              <w:spacing w:after="0" w:line="240" w:lineRule="auto"/>
              <w:jc w:val="center"/>
              <w:rPr>
                <w:rFonts w:eastAsia="Times New Roman" w:cs="Calibri"/>
                <w:color w:val="000000"/>
                <w:kern w:val="0"/>
                <w:lang w:eastAsia="it-IT"/>
                <w14:ligatures w14:val="none"/>
              </w:rPr>
            </w:pPr>
            <w:r w:rsidRPr="006C6580">
              <w:rPr>
                <w:rFonts w:eastAsia="Times New Roman" w:cs="Calibri"/>
                <w:color w:val="000000"/>
                <w:kern w:val="0"/>
                <w:lang w:eastAsia="it-IT"/>
                <w14:ligatures w14:val="none"/>
              </w:rPr>
              <w:t>41,7</w:t>
            </w:r>
          </w:p>
        </w:tc>
        <w:tc>
          <w:tcPr>
            <w:tcW w:w="638" w:type="pct"/>
            <w:shd w:val="clear" w:color="auto" w:fill="auto"/>
            <w:noWrap/>
            <w:vAlign w:val="center"/>
            <w:hideMark/>
          </w:tcPr>
          <w:p w14:paraId="4CC557A2" w14:textId="0914F59D" w:rsidR="006C6580" w:rsidRPr="006C6580" w:rsidRDefault="006C6580" w:rsidP="006C6580">
            <w:pPr>
              <w:spacing w:after="0" w:line="240" w:lineRule="auto"/>
              <w:jc w:val="center"/>
              <w:rPr>
                <w:rFonts w:eastAsia="Times New Roman" w:cs="Calibri"/>
                <w:color w:val="000000"/>
                <w:kern w:val="0"/>
                <w:lang w:eastAsia="it-IT"/>
                <w14:ligatures w14:val="none"/>
              </w:rPr>
            </w:pPr>
            <w:r w:rsidRPr="006C6580">
              <w:rPr>
                <w:rFonts w:eastAsia="Times New Roman" w:cs="Calibri"/>
                <w:color w:val="000000"/>
                <w:kern w:val="0"/>
                <w:lang w:eastAsia="it-IT"/>
                <w14:ligatures w14:val="none"/>
              </w:rPr>
              <w:t>0,0</w:t>
            </w:r>
          </w:p>
        </w:tc>
        <w:tc>
          <w:tcPr>
            <w:tcW w:w="638" w:type="pct"/>
            <w:shd w:val="clear" w:color="auto" w:fill="auto"/>
            <w:noWrap/>
            <w:vAlign w:val="center"/>
            <w:hideMark/>
          </w:tcPr>
          <w:p w14:paraId="49BFCD13" w14:textId="041F4269" w:rsidR="006C6580" w:rsidRPr="006C6580" w:rsidRDefault="006C6580" w:rsidP="006C6580">
            <w:pPr>
              <w:spacing w:after="0" w:line="240" w:lineRule="auto"/>
              <w:jc w:val="center"/>
              <w:rPr>
                <w:rFonts w:eastAsia="Times New Roman" w:cs="Calibri"/>
                <w:color w:val="000000"/>
                <w:kern w:val="0"/>
                <w:lang w:eastAsia="it-IT"/>
                <w14:ligatures w14:val="none"/>
              </w:rPr>
            </w:pPr>
            <w:r w:rsidRPr="006C6580">
              <w:rPr>
                <w:rFonts w:eastAsia="Times New Roman" w:cs="Calibri"/>
                <w:color w:val="000000"/>
                <w:kern w:val="0"/>
                <w:lang w:eastAsia="it-IT"/>
                <w14:ligatures w14:val="none"/>
              </w:rPr>
              <w:t>100</w:t>
            </w:r>
          </w:p>
        </w:tc>
      </w:tr>
    </w:tbl>
    <w:p w14:paraId="18F5B933" w14:textId="66F825D4" w:rsidR="00636AC0" w:rsidRPr="00B47608" w:rsidRDefault="00636AC0" w:rsidP="00ED2A57">
      <w:pPr>
        <w:spacing w:after="0"/>
      </w:pPr>
      <w:r w:rsidRPr="00B47608">
        <w:t>Fonte: Fondazione Nord Est (</w:t>
      </w:r>
      <w:r w:rsidR="00D21998" w:rsidRPr="00B47608">
        <w:t>286</w:t>
      </w:r>
      <w:r w:rsidRPr="00B47608">
        <w:t xml:space="preserve"> casi)</w:t>
      </w:r>
    </w:p>
    <w:p w14:paraId="365F4482" w14:textId="77777777" w:rsidR="003E440F" w:rsidRPr="00B47608" w:rsidRDefault="003E440F" w:rsidP="00ED2A57">
      <w:pPr>
        <w:spacing w:after="0"/>
      </w:pPr>
    </w:p>
    <w:p w14:paraId="110549D5" w14:textId="77777777" w:rsidR="007F038C" w:rsidRPr="00B47608" w:rsidRDefault="007F038C" w:rsidP="00ED2A57">
      <w:pPr>
        <w:spacing w:after="0"/>
        <w:jc w:val="both"/>
      </w:pPr>
    </w:p>
    <w:p w14:paraId="30E77049" w14:textId="58566D40" w:rsidR="00887028" w:rsidRPr="00B47608" w:rsidRDefault="007F038C" w:rsidP="00ED2A57">
      <w:pPr>
        <w:spacing w:after="0"/>
        <w:jc w:val="both"/>
      </w:pPr>
      <w:r w:rsidRPr="00B47608">
        <w:t>Come leggono e interpret</w:t>
      </w:r>
      <w:r w:rsidR="00184A2D">
        <w:t>ano</w:t>
      </w:r>
      <w:r w:rsidRPr="00B47608">
        <w:t xml:space="preserve"> le imprese la situazione che sta vivendo la Germania? </w:t>
      </w:r>
      <w:r w:rsidR="007D09A2" w:rsidRPr="00B47608">
        <w:t>L’interpretazione</w:t>
      </w:r>
      <w:r w:rsidR="00A936DA" w:rsidRPr="00B47608">
        <w:t xml:space="preserve"> che le imprese danno della situazione di difficoltà dell’economia tedesca non è univoca</w:t>
      </w:r>
      <w:r w:rsidR="001D37E2" w:rsidRPr="00B47608">
        <w:t xml:space="preserve">. Se è vero che </w:t>
      </w:r>
      <w:r w:rsidR="00A936DA" w:rsidRPr="00B47608">
        <w:t>il 57,3% ritiene ch</w:t>
      </w:r>
      <w:r w:rsidR="001D37E2" w:rsidRPr="00B47608">
        <w:t xml:space="preserve">e la Germania stia vivendo problemi di carattere strutturale quasi il 40% </w:t>
      </w:r>
      <w:r w:rsidR="00CC0BA4" w:rsidRPr="00B47608">
        <w:t xml:space="preserve">(37,1%) </w:t>
      </w:r>
      <w:r w:rsidR="001D37E2" w:rsidRPr="00B47608">
        <w:t xml:space="preserve">ritiene </w:t>
      </w:r>
      <w:r w:rsidR="00CC0BA4" w:rsidRPr="00B47608">
        <w:t xml:space="preserve">che il paese stia vivendo un problema di natura congiunturale che si risolverà nei prossimi mesi. </w:t>
      </w:r>
      <w:r w:rsidR="001D37E2" w:rsidRPr="00B47608">
        <w:t xml:space="preserve"> </w:t>
      </w:r>
      <w:r w:rsidR="001B41FC" w:rsidRPr="00B47608">
        <w:t xml:space="preserve">Va sottolineato che le riposte che arrivano dal management delle imprese più esposte agli scambi con la Germania </w:t>
      </w:r>
      <w:r w:rsidR="0053747D" w:rsidRPr="00B47608">
        <w:t>appaiono più favorevoli rispetto al futuro: il 43,4% ritiene che sia un problema congiuntu</w:t>
      </w:r>
      <w:r w:rsidR="00D70119" w:rsidRPr="00B47608">
        <w:t xml:space="preserve">rale, sei punti percentuali in più rispetto alla media. </w:t>
      </w:r>
    </w:p>
    <w:p w14:paraId="0C181AF1" w14:textId="77777777" w:rsidR="00114E08" w:rsidRPr="00B47608" w:rsidRDefault="00114E08" w:rsidP="00ED2A57">
      <w:pPr>
        <w:spacing w:after="0"/>
      </w:pPr>
    </w:p>
    <w:p w14:paraId="5605E887" w14:textId="77777777" w:rsidR="00F7060C" w:rsidRPr="00B47608" w:rsidRDefault="00F7060C" w:rsidP="00ED2A57">
      <w:pPr>
        <w:spacing w:after="0"/>
        <w:rPr>
          <w:b/>
          <w:bCs/>
        </w:rPr>
      </w:pPr>
    </w:p>
    <w:p w14:paraId="6F7A475A" w14:textId="56A6BF4E" w:rsidR="006611D9" w:rsidRPr="00B47608" w:rsidRDefault="007F39F0" w:rsidP="00ED2A57">
      <w:pPr>
        <w:spacing w:after="0"/>
        <w:rPr>
          <w:b/>
          <w:bCs/>
        </w:rPr>
      </w:pPr>
      <w:r w:rsidRPr="00B47608">
        <w:rPr>
          <w:b/>
          <w:bCs/>
        </w:rPr>
        <w:t xml:space="preserve">Tab. 2.4 </w:t>
      </w:r>
      <w:r w:rsidR="00887028" w:rsidRPr="00B47608">
        <w:rPr>
          <w:b/>
          <w:bCs/>
        </w:rPr>
        <w:t>Aspettative sulla</w:t>
      </w:r>
      <w:r w:rsidR="002D7149" w:rsidRPr="00B47608">
        <w:rPr>
          <w:b/>
          <w:bCs/>
        </w:rPr>
        <w:t xml:space="preserve"> crisi tedesca per macrosettore, dimensione e intensità di esportazione verso la Germania</w:t>
      </w:r>
      <w:r w:rsidR="00D84A48" w:rsidRPr="00B47608">
        <w:rPr>
          <w:b/>
          <w:bCs/>
        </w:rPr>
        <w:t xml:space="preserve"> (Val.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88"/>
        <w:gridCol w:w="1685"/>
        <w:gridCol w:w="1685"/>
        <w:gridCol w:w="1685"/>
        <w:gridCol w:w="1685"/>
      </w:tblGrid>
      <w:tr w:rsidR="0096128C" w:rsidRPr="00B47608" w14:paraId="16400D2E" w14:textId="77777777" w:rsidTr="00731C6E">
        <w:trPr>
          <w:trHeight w:val="288"/>
        </w:trPr>
        <w:tc>
          <w:tcPr>
            <w:tcW w:w="1500" w:type="pct"/>
            <w:shd w:val="clear" w:color="auto" w:fill="auto"/>
            <w:noWrap/>
            <w:vAlign w:val="center"/>
            <w:hideMark/>
          </w:tcPr>
          <w:p w14:paraId="2C76F05C" w14:textId="77777777" w:rsidR="0096128C" w:rsidRPr="00B47608" w:rsidRDefault="0096128C" w:rsidP="00ED2A57">
            <w:pPr>
              <w:spacing w:after="0" w:line="240" w:lineRule="auto"/>
              <w:rPr>
                <w:rFonts w:eastAsia="Times New Roman" w:cs="Times New Roman"/>
                <w:kern w:val="0"/>
                <w:sz w:val="24"/>
                <w:szCs w:val="24"/>
                <w:lang w:eastAsia="it-IT"/>
                <w14:ligatures w14:val="none"/>
              </w:rPr>
            </w:pPr>
          </w:p>
        </w:tc>
        <w:tc>
          <w:tcPr>
            <w:tcW w:w="875" w:type="pct"/>
            <w:shd w:val="clear" w:color="auto" w:fill="auto"/>
            <w:noWrap/>
            <w:vAlign w:val="center"/>
            <w:hideMark/>
          </w:tcPr>
          <w:p w14:paraId="69EFB6C9" w14:textId="77777777" w:rsidR="0096128C" w:rsidRPr="00661284" w:rsidRDefault="0096128C" w:rsidP="00ED2A57">
            <w:pPr>
              <w:spacing w:after="0" w:line="240" w:lineRule="auto"/>
              <w:jc w:val="center"/>
              <w:rPr>
                <w:rFonts w:eastAsia="Times New Roman" w:cs="Arial"/>
                <w:b/>
                <w:bCs/>
                <w:color w:val="000000"/>
                <w:kern w:val="0"/>
                <w:sz w:val="18"/>
                <w:szCs w:val="18"/>
                <w:lang w:eastAsia="it-IT"/>
                <w14:ligatures w14:val="none"/>
              </w:rPr>
            </w:pPr>
            <w:r w:rsidRPr="00661284">
              <w:rPr>
                <w:rFonts w:eastAsia="Times New Roman" w:cs="Arial"/>
                <w:b/>
                <w:bCs/>
                <w:color w:val="000000"/>
                <w:kern w:val="0"/>
                <w:sz w:val="18"/>
                <w:szCs w:val="18"/>
                <w:lang w:eastAsia="it-IT"/>
                <w14:ligatures w14:val="none"/>
              </w:rPr>
              <w:t>È un problema strutturale</w:t>
            </w:r>
          </w:p>
        </w:tc>
        <w:tc>
          <w:tcPr>
            <w:tcW w:w="875" w:type="pct"/>
            <w:shd w:val="clear" w:color="auto" w:fill="auto"/>
            <w:noWrap/>
            <w:vAlign w:val="center"/>
            <w:hideMark/>
          </w:tcPr>
          <w:p w14:paraId="2C443428" w14:textId="77777777" w:rsidR="0096128C" w:rsidRPr="00661284" w:rsidRDefault="0096128C" w:rsidP="00ED2A57">
            <w:pPr>
              <w:spacing w:after="0" w:line="240" w:lineRule="auto"/>
              <w:jc w:val="center"/>
              <w:rPr>
                <w:rFonts w:eastAsia="Times New Roman" w:cs="Arial"/>
                <w:b/>
                <w:bCs/>
                <w:color w:val="000000"/>
                <w:kern w:val="0"/>
                <w:sz w:val="18"/>
                <w:szCs w:val="18"/>
                <w:lang w:eastAsia="it-IT"/>
                <w14:ligatures w14:val="none"/>
              </w:rPr>
            </w:pPr>
            <w:r w:rsidRPr="00661284">
              <w:rPr>
                <w:rFonts w:eastAsia="Times New Roman" w:cs="Arial"/>
                <w:b/>
                <w:bCs/>
                <w:color w:val="000000"/>
                <w:kern w:val="0"/>
                <w:sz w:val="18"/>
                <w:szCs w:val="18"/>
                <w:lang w:eastAsia="it-IT"/>
                <w14:ligatures w14:val="none"/>
              </w:rPr>
              <w:t>È un problema congiunturale che si risolverà nei prossimi mesi</w:t>
            </w:r>
          </w:p>
        </w:tc>
        <w:tc>
          <w:tcPr>
            <w:tcW w:w="875" w:type="pct"/>
            <w:shd w:val="clear" w:color="auto" w:fill="auto"/>
            <w:noWrap/>
            <w:vAlign w:val="center"/>
            <w:hideMark/>
          </w:tcPr>
          <w:p w14:paraId="4F91B507" w14:textId="77777777" w:rsidR="0096128C" w:rsidRPr="00661284" w:rsidRDefault="0096128C" w:rsidP="00ED2A57">
            <w:pPr>
              <w:spacing w:after="0" w:line="240" w:lineRule="auto"/>
              <w:jc w:val="center"/>
              <w:rPr>
                <w:rFonts w:eastAsia="Times New Roman" w:cs="Calibri"/>
                <w:b/>
                <w:bCs/>
                <w:color w:val="000000"/>
                <w:kern w:val="0"/>
                <w:lang w:eastAsia="it-IT"/>
                <w14:ligatures w14:val="none"/>
              </w:rPr>
            </w:pPr>
            <w:proofErr w:type="spellStart"/>
            <w:r w:rsidRPr="00661284">
              <w:rPr>
                <w:rFonts w:eastAsia="Times New Roman" w:cs="Calibri"/>
                <w:b/>
                <w:bCs/>
                <w:color w:val="000000"/>
                <w:kern w:val="0"/>
                <w:lang w:eastAsia="it-IT"/>
                <w14:ligatures w14:val="none"/>
              </w:rPr>
              <w:t>n.r</w:t>
            </w:r>
            <w:proofErr w:type="spellEnd"/>
            <w:r w:rsidRPr="00661284">
              <w:rPr>
                <w:rFonts w:eastAsia="Times New Roman" w:cs="Calibri"/>
                <w:b/>
                <w:bCs/>
                <w:color w:val="000000"/>
                <w:kern w:val="0"/>
                <w:lang w:eastAsia="it-IT"/>
                <w14:ligatures w14:val="none"/>
              </w:rPr>
              <w:t>.</w:t>
            </w:r>
          </w:p>
        </w:tc>
        <w:tc>
          <w:tcPr>
            <w:tcW w:w="875" w:type="pct"/>
            <w:shd w:val="clear" w:color="auto" w:fill="auto"/>
            <w:noWrap/>
            <w:vAlign w:val="center"/>
            <w:hideMark/>
          </w:tcPr>
          <w:p w14:paraId="23DAA6DC" w14:textId="77777777" w:rsidR="0096128C" w:rsidRPr="00661284" w:rsidRDefault="0096128C" w:rsidP="00ED2A57">
            <w:pPr>
              <w:spacing w:after="0" w:line="240" w:lineRule="auto"/>
              <w:jc w:val="center"/>
              <w:rPr>
                <w:rFonts w:eastAsia="Times New Roman" w:cs="Calibri"/>
                <w:b/>
                <w:bCs/>
                <w:color w:val="000000"/>
                <w:kern w:val="0"/>
                <w:lang w:eastAsia="it-IT"/>
                <w14:ligatures w14:val="none"/>
              </w:rPr>
            </w:pPr>
            <w:r w:rsidRPr="00661284">
              <w:rPr>
                <w:rFonts w:eastAsia="Times New Roman" w:cs="Calibri"/>
                <w:b/>
                <w:bCs/>
                <w:color w:val="000000"/>
                <w:kern w:val="0"/>
                <w:lang w:eastAsia="it-IT"/>
                <w14:ligatures w14:val="none"/>
              </w:rPr>
              <w:t>Totale</w:t>
            </w:r>
          </w:p>
        </w:tc>
      </w:tr>
      <w:tr w:rsidR="0096128C" w:rsidRPr="00B47608" w14:paraId="1A1C4BDB" w14:textId="77777777" w:rsidTr="00731C6E">
        <w:trPr>
          <w:trHeight w:val="288"/>
        </w:trPr>
        <w:tc>
          <w:tcPr>
            <w:tcW w:w="1500" w:type="pct"/>
            <w:shd w:val="clear" w:color="auto" w:fill="auto"/>
            <w:noWrap/>
            <w:vAlign w:val="bottom"/>
            <w:hideMark/>
          </w:tcPr>
          <w:p w14:paraId="32466D96" w14:textId="77777777" w:rsidR="0096128C" w:rsidRPr="00B47608" w:rsidRDefault="0096128C" w:rsidP="00ED2A57">
            <w:pPr>
              <w:spacing w:after="0" w:line="240" w:lineRule="auto"/>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Tutti</w:t>
            </w:r>
          </w:p>
        </w:tc>
        <w:tc>
          <w:tcPr>
            <w:tcW w:w="875" w:type="pct"/>
            <w:shd w:val="clear" w:color="auto" w:fill="auto"/>
            <w:noWrap/>
            <w:vAlign w:val="bottom"/>
            <w:hideMark/>
          </w:tcPr>
          <w:p w14:paraId="52E6DF18" w14:textId="795DA22E" w:rsidR="0096128C" w:rsidRPr="00B47608" w:rsidRDefault="0096128C"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57,3</w:t>
            </w:r>
          </w:p>
        </w:tc>
        <w:tc>
          <w:tcPr>
            <w:tcW w:w="875" w:type="pct"/>
            <w:shd w:val="clear" w:color="auto" w:fill="auto"/>
            <w:noWrap/>
            <w:vAlign w:val="bottom"/>
            <w:hideMark/>
          </w:tcPr>
          <w:p w14:paraId="7E09801F" w14:textId="1823A956" w:rsidR="0096128C" w:rsidRPr="00B47608" w:rsidRDefault="0096128C"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37,1</w:t>
            </w:r>
          </w:p>
        </w:tc>
        <w:tc>
          <w:tcPr>
            <w:tcW w:w="875" w:type="pct"/>
            <w:shd w:val="clear" w:color="auto" w:fill="auto"/>
            <w:noWrap/>
            <w:vAlign w:val="bottom"/>
            <w:hideMark/>
          </w:tcPr>
          <w:p w14:paraId="4D850E63" w14:textId="2B240E01" w:rsidR="0096128C" w:rsidRPr="00B47608" w:rsidRDefault="0096128C"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5,5</w:t>
            </w:r>
          </w:p>
        </w:tc>
        <w:tc>
          <w:tcPr>
            <w:tcW w:w="875" w:type="pct"/>
            <w:shd w:val="clear" w:color="auto" w:fill="auto"/>
            <w:noWrap/>
            <w:vAlign w:val="bottom"/>
            <w:hideMark/>
          </w:tcPr>
          <w:p w14:paraId="0485BFD0" w14:textId="186211BD" w:rsidR="0096128C" w:rsidRPr="00B47608" w:rsidRDefault="0096128C"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100</w:t>
            </w:r>
          </w:p>
        </w:tc>
      </w:tr>
      <w:tr w:rsidR="0096128C" w:rsidRPr="00B47608" w14:paraId="710E0675" w14:textId="77777777" w:rsidTr="00731C6E">
        <w:trPr>
          <w:trHeight w:val="288"/>
        </w:trPr>
        <w:tc>
          <w:tcPr>
            <w:tcW w:w="1500" w:type="pct"/>
            <w:shd w:val="clear" w:color="auto" w:fill="auto"/>
            <w:noWrap/>
            <w:vAlign w:val="bottom"/>
            <w:hideMark/>
          </w:tcPr>
          <w:p w14:paraId="4A96DA5D" w14:textId="77777777" w:rsidR="0096128C" w:rsidRPr="00B47608" w:rsidRDefault="0096128C" w:rsidP="00ED2A57">
            <w:pPr>
              <w:spacing w:after="0" w:line="240" w:lineRule="auto"/>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Macrosettore</w:t>
            </w:r>
          </w:p>
        </w:tc>
        <w:tc>
          <w:tcPr>
            <w:tcW w:w="875" w:type="pct"/>
            <w:shd w:val="clear" w:color="auto" w:fill="auto"/>
            <w:noWrap/>
            <w:vAlign w:val="bottom"/>
            <w:hideMark/>
          </w:tcPr>
          <w:p w14:paraId="1843F868" w14:textId="77777777" w:rsidR="0096128C" w:rsidRPr="00B47608" w:rsidRDefault="0096128C" w:rsidP="00ED2A57">
            <w:pPr>
              <w:spacing w:after="0" w:line="240" w:lineRule="auto"/>
              <w:jc w:val="center"/>
              <w:rPr>
                <w:rFonts w:eastAsia="Times New Roman" w:cs="Calibri"/>
                <w:b/>
                <w:bCs/>
                <w:color w:val="000000"/>
                <w:kern w:val="0"/>
                <w:lang w:eastAsia="it-IT"/>
                <w14:ligatures w14:val="none"/>
              </w:rPr>
            </w:pPr>
          </w:p>
        </w:tc>
        <w:tc>
          <w:tcPr>
            <w:tcW w:w="875" w:type="pct"/>
            <w:shd w:val="clear" w:color="auto" w:fill="auto"/>
            <w:noWrap/>
            <w:vAlign w:val="bottom"/>
            <w:hideMark/>
          </w:tcPr>
          <w:p w14:paraId="029D605D" w14:textId="77777777" w:rsidR="0096128C" w:rsidRPr="00B47608" w:rsidRDefault="0096128C" w:rsidP="00ED2A57">
            <w:pPr>
              <w:spacing w:after="0" w:line="240" w:lineRule="auto"/>
              <w:jc w:val="center"/>
              <w:rPr>
                <w:rFonts w:eastAsia="Times New Roman" w:cs="Times New Roman"/>
                <w:kern w:val="0"/>
                <w:sz w:val="20"/>
                <w:szCs w:val="20"/>
                <w:lang w:eastAsia="it-IT"/>
                <w14:ligatures w14:val="none"/>
              </w:rPr>
            </w:pPr>
          </w:p>
        </w:tc>
        <w:tc>
          <w:tcPr>
            <w:tcW w:w="875" w:type="pct"/>
            <w:shd w:val="clear" w:color="auto" w:fill="auto"/>
            <w:noWrap/>
            <w:vAlign w:val="bottom"/>
            <w:hideMark/>
          </w:tcPr>
          <w:p w14:paraId="6A867433" w14:textId="77777777" w:rsidR="0096128C" w:rsidRPr="00B47608" w:rsidRDefault="0096128C" w:rsidP="00ED2A57">
            <w:pPr>
              <w:spacing w:after="0" w:line="240" w:lineRule="auto"/>
              <w:jc w:val="center"/>
              <w:rPr>
                <w:rFonts w:eastAsia="Times New Roman" w:cs="Times New Roman"/>
                <w:kern w:val="0"/>
                <w:sz w:val="20"/>
                <w:szCs w:val="20"/>
                <w:lang w:eastAsia="it-IT"/>
                <w14:ligatures w14:val="none"/>
              </w:rPr>
            </w:pPr>
          </w:p>
        </w:tc>
        <w:tc>
          <w:tcPr>
            <w:tcW w:w="875" w:type="pct"/>
            <w:shd w:val="clear" w:color="auto" w:fill="auto"/>
            <w:noWrap/>
            <w:vAlign w:val="bottom"/>
            <w:hideMark/>
          </w:tcPr>
          <w:p w14:paraId="4324AD02" w14:textId="77777777" w:rsidR="0096128C" w:rsidRPr="00B47608" w:rsidRDefault="0096128C" w:rsidP="00ED2A57">
            <w:pPr>
              <w:spacing w:after="0" w:line="240" w:lineRule="auto"/>
              <w:jc w:val="center"/>
              <w:rPr>
                <w:rFonts w:eastAsia="Times New Roman" w:cs="Times New Roman"/>
                <w:kern w:val="0"/>
                <w:sz w:val="20"/>
                <w:szCs w:val="20"/>
                <w:lang w:eastAsia="it-IT"/>
                <w14:ligatures w14:val="none"/>
              </w:rPr>
            </w:pPr>
          </w:p>
        </w:tc>
      </w:tr>
      <w:tr w:rsidR="0096128C" w:rsidRPr="00B47608" w14:paraId="30E28A5B" w14:textId="77777777" w:rsidTr="00731C6E">
        <w:trPr>
          <w:trHeight w:val="288"/>
        </w:trPr>
        <w:tc>
          <w:tcPr>
            <w:tcW w:w="1500" w:type="pct"/>
            <w:shd w:val="clear" w:color="auto" w:fill="auto"/>
            <w:noWrap/>
            <w:vAlign w:val="bottom"/>
            <w:hideMark/>
          </w:tcPr>
          <w:p w14:paraId="421AA373" w14:textId="77777777" w:rsidR="0096128C" w:rsidRPr="00B47608" w:rsidRDefault="0096128C"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Altri settori</w:t>
            </w:r>
          </w:p>
        </w:tc>
        <w:tc>
          <w:tcPr>
            <w:tcW w:w="875" w:type="pct"/>
            <w:shd w:val="clear" w:color="auto" w:fill="auto"/>
            <w:noWrap/>
            <w:vAlign w:val="bottom"/>
            <w:hideMark/>
          </w:tcPr>
          <w:p w14:paraId="12FD50D1" w14:textId="4750F5AA" w:rsidR="0096128C" w:rsidRPr="00B47608" w:rsidRDefault="0096128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57,5</w:t>
            </w:r>
          </w:p>
        </w:tc>
        <w:tc>
          <w:tcPr>
            <w:tcW w:w="875" w:type="pct"/>
            <w:shd w:val="clear" w:color="auto" w:fill="auto"/>
            <w:noWrap/>
            <w:vAlign w:val="bottom"/>
            <w:hideMark/>
          </w:tcPr>
          <w:p w14:paraId="1B1213D5" w14:textId="07ED57AC" w:rsidR="0096128C" w:rsidRPr="00B47608" w:rsidRDefault="0096128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37,3</w:t>
            </w:r>
          </w:p>
        </w:tc>
        <w:tc>
          <w:tcPr>
            <w:tcW w:w="875" w:type="pct"/>
            <w:shd w:val="clear" w:color="auto" w:fill="auto"/>
            <w:noWrap/>
            <w:vAlign w:val="bottom"/>
            <w:hideMark/>
          </w:tcPr>
          <w:p w14:paraId="1F8F84CF" w14:textId="37491DF4" w:rsidR="0096128C" w:rsidRPr="00B47608" w:rsidRDefault="0096128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5,2</w:t>
            </w:r>
          </w:p>
        </w:tc>
        <w:tc>
          <w:tcPr>
            <w:tcW w:w="875" w:type="pct"/>
            <w:shd w:val="clear" w:color="auto" w:fill="auto"/>
            <w:noWrap/>
            <w:vAlign w:val="bottom"/>
            <w:hideMark/>
          </w:tcPr>
          <w:p w14:paraId="5FE6B60A" w14:textId="4EDBE42C" w:rsidR="0096128C" w:rsidRPr="00B47608" w:rsidRDefault="0096128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w:t>
            </w:r>
          </w:p>
        </w:tc>
      </w:tr>
      <w:tr w:rsidR="0096128C" w:rsidRPr="00B47608" w14:paraId="0ADFE415" w14:textId="77777777" w:rsidTr="00731C6E">
        <w:trPr>
          <w:trHeight w:val="288"/>
        </w:trPr>
        <w:tc>
          <w:tcPr>
            <w:tcW w:w="1500" w:type="pct"/>
            <w:shd w:val="clear" w:color="auto" w:fill="auto"/>
            <w:noWrap/>
            <w:vAlign w:val="bottom"/>
            <w:hideMark/>
          </w:tcPr>
          <w:p w14:paraId="7DE28E09" w14:textId="77777777" w:rsidR="0096128C" w:rsidRPr="00B47608" w:rsidRDefault="0096128C"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Metalmeccanica</w:t>
            </w:r>
          </w:p>
        </w:tc>
        <w:tc>
          <w:tcPr>
            <w:tcW w:w="875" w:type="pct"/>
            <w:shd w:val="clear" w:color="auto" w:fill="auto"/>
            <w:noWrap/>
            <w:vAlign w:val="bottom"/>
            <w:hideMark/>
          </w:tcPr>
          <w:p w14:paraId="776FEC52" w14:textId="553B42E7" w:rsidR="0096128C" w:rsidRPr="00B47608" w:rsidRDefault="0096128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57,1</w:t>
            </w:r>
          </w:p>
        </w:tc>
        <w:tc>
          <w:tcPr>
            <w:tcW w:w="875" w:type="pct"/>
            <w:shd w:val="clear" w:color="auto" w:fill="auto"/>
            <w:noWrap/>
            <w:vAlign w:val="bottom"/>
            <w:hideMark/>
          </w:tcPr>
          <w:p w14:paraId="1BCA0C23" w14:textId="5D826CBC" w:rsidR="0096128C" w:rsidRPr="00B47608" w:rsidRDefault="0096128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36,9</w:t>
            </w:r>
          </w:p>
        </w:tc>
        <w:tc>
          <w:tcPr>
            <w:tcW w:w="875" w:type="pct"/>
            <w:shd w:val="clear" w:color="auto" w:fill="auto"/>
            <w:noWrap/>
            <w:vAlign w:val="bottom"/>
            <w:hideMark/>
          </w:tcPr>
          <w:p w14:paraId="3140686B" w14:textId="6F9259D0" w:rsidR="0096128C" w:rsidRPr="00B47608" w:rsidRDefault="0096128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6,0</w:t>
            </w:r>
          </w:p>
        </w:tc>
        <w:tc>
          <w:tcPr>
            <w:tcW w:w="875" w:type="pct"/>
            <w:shd w:val="clear" w:color="auto" w:fill="auto"/>
            <w:noWrap/>
            <w:vAlign w:val="bottom"/>
            <w:hideMark/>
          </w:tcPr>
          <w:p w14:paraId="0EF29236" w14:textId="3491A395" w:rsidR="0096128C" w:rsidRPr="00B47608" w:rsidRDefault="0096128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w:t>
            </w:r>
          </w:p>
        </w:tc>
      </w:tr>
      <w:tr w:rsidR="0096128C" w:rsidRPr="00B47608" w14:paraId="1680767C" w14:textId="77777777" w:rsidTr="00731C6E">
        <w:trPr>
          <w:trHeight w:val="288"/>
        </w:trPr>
        <w:tc>
          <w:tcPr>
            <w:tcW w:w="1500" w:type="pct"/>
            <w:shd w:val="clear" w:color="auto" w:fill="auto"/>
            <w:noWrap/>
            <w:vAlign w:val="bottom"/>
            <w:hideMark/>
          </w:tcPr>
          <w:p w14:paraId="4A3DB186" w14:textId="77777777" w:rsidR="0096128C" w:rsidRPr="00B47608" w:rsidRDefault="0096128C" w:rsidP="00ED2A57">
            <w:pPr>
              <w:spacing w:after="0" w:line="240" w:lineRule="auto"/>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Dimensioni</w:t>
            </w:r>
          </w:p>
        </w:tc>
        <w:tc>
          <w:tcPr>
            <w:tcW w:w="875" w:type="pct"/>
            <w:shd w:val="clear" w:color="auto" w:fill="auto"/>
            <w:noWrap/>
            <w:vAlign w:val="bottom"/>
            <w:hideMark/>
          </w:tcPr>
          <w:p w14:paraId="3BD04EDA" w14:textId="77777777" w:rsidR="0096128C" w:rsidRPr="00B47608" w:rsidRDefault="0096128C" w:rsidP="00ED2A57">
            <w:pPr>
              <w:spacing w:after="0" w:line="240" w:lineRule="auto"/>
              <w:jc w:val="center"/>
              <w:rPr>
                <w:rFonts w:eastAsia="Times New Roman" w:cs="Calibri"/>
                <w:b/>
                <w:bCs/>
                <w:color w:val="000000"/>
                <w:kern w:val="0"/>
                <w:lang w:eastAsia="it-IT"/>
                <w14:ligatures w14:val="none"/>
              </w:rPr>
            </w:pPr>
          </w:p>
        </w:tc>
        <w:tc>
          <w:tcPr>
            <w:tcW w:w="875" w:type="pct"/>
            <w:shd w:val="clear" w:color="auto" w:fill="auto"/>
            <w:noWrap/>
            <w:vAlign w:val="bottom"/>
            <w:hideMark/>
          </w:tcPr>
          <w:p w14:paraId="416DCD9F" w14:textId="77777777" w:rsidR="0096128C" w:rsidRPr="00B47608" w:rsidRDefault="0096128C" w:rsidP="00ED2A57">
            <w:pPr>
              <w:spacing w:after="0" w:line="240" w:lineRule="auto"/>
              <w:jc w:val="center"/>
              <w:rPr>
                <w:rFonts w:eastAsia="Times New Roman" w:cs="Times New Roman"/>
                <w:kern w:val="0"/>
                <w:sz w:val="20"/>
                <w:szCs w:val="20"/>
                <w:lang w:eastAsia="it-IT"/>
                <w14:ligatures w14:val="none"/>
              </w:rPr>
            </w:pPr>
          </w:p>
        </w:tc>
        <w:tc>
          <w:tcPr>
            <w:tcW w:w="875" w:type="pct"/>
            <w:shd w:val="clear" w:color="auto" w:fill="auto"/>
            <w:noWrap/>
            <w:vAlign w:val="bottom"/>
            <w:hideMark/>
          </w:tcPr>
          <w:p w14:paraId="2C763118" w14:textId="77777777" w:rsidR="0096128C" w:rsidRPr="00B47608" w:rsidRDefault="0096128C" w:rsidP="00ED2A57">
            <w:pPr>
              <w:spacing w:after="0" w:line="240" w:lineRule="auto"/>
              <w:jc w:val="center"/>
              <w:rPr>
                <w:rFonts w:eastAsia="Times New Roman" w:cs="Times New Roman"/>
                <w:kern w:val="0"/>
                <w:sz w:val="20"/>
                <w:szCs w:val="20"/>
                <w:lang w:eastAsia="it-IT"/>
                <w14:ligatures w14:val="none"/>
              </w:rPr>
            </w:pPr>
          </w:p>
        </w:tc>
        <w:tc>
          <w:tcPr>
            <w:tcW w:w="875" w:type="pct"/>
            <w:shd w:val="clear" w:color="auto" w:fill="auto"/>
            <w:noWrap/>
            <w:vAlign w:val="bottom"/>
            <w:hideMark/>
          </w:tcPr>
          <w:p w14:paraId="4D462183" w14:textId="77777777" w:rsidR="0096128C" w:rsidRPr="00B47608" w:rsidRDefault="0096128C" w:rsidP="00ED2A57">
            <w:pPr>
              <w:spacing w:after="0" w:line="240" w:lineRule="auto"/>
              <w:jc w:val="center"/>
              <w:rPr>
                <w:rFonts w:eastAsia="Times New Roman" w:cs="Times New Roman"/>
                <w:kern w:val="0"/>
                <w:sz w:val="20"/>
                <w:szCs w:val="20"/>
                <w:lang w:eastAsia="it-IT"/>
                <w14:ligatures w14:val="none"/>
              </w:rPr>
            </w:pPr>
          </w:p>
        </w:tc>
      </w:tr>
      <w:tr w:rsidR="0096128C" w:rsidRPr="00B47608" w14:paraId="7942A6F8" w14:textId="77777777" w:rsidTr="00731C6E">
        <w:trPr>
          <w:trHeight w:val="288"/>
        </w:trPr>
        <w:tc>
          <w:tcPr>
            <w:tcW w:w="1500" w:type="pct"/>
            <w:shd w:val="clear" w:color="auto" w:fill="auto"/>
            <w:noWrap/>
            <w:vAlign w:val="bottom"/>
            <w:hideMark/>
          </w:tcPr>
          <w:p w14:paraId="594E28FE" w14:textId="77777777" w:rsidR="0096128C" w:rsidRPr="00B47608" w:rsidRDefault="0096128C"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Meno di 50</w:t>
            </w:r>
          </w:p>
        </w:tc>
        <w:tc>
          <w:tcPr>
            <w:tcW w:w="875" w:type="pct"/>
            <w:shd w:val="clear" w:color="auto" w:fill="auto"/>
            <w:noWrap/>
            <w:vAlign w:val="bottom"/>
            <w:hideMark/>
          </w:tcPr>
          <w:p w14:paraId="26879016" w14:textId="108606F5" w:rsidR="0096128C" w:rsidRPr="00B47608" w:rsidRDefault="0096128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55,6</w:t>
            </w:r>
          </w:p>
        </w:tc>
        <w:tc>
          <w:tcPr>
            <w:tcW w:w="875" w:type="pct"/>
            <w:shd w:val="clear" w:color="auto" w:fill="auto"/>
            <w:noWrap/>
            <w:vAlign w:val="bottom"/>
            <w:hideMark/>
          </w:tcPr>
          <w:p w14:paraId="39AF607A" w14:textId="00C59E1A" w:rsidR="0096128C" w:rsidRPr="00B47608" w:rsidRDefault="0096128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39,9</w:t>
            </w:r>
          </w:p>
        </w:tc>
        <w:tc>
          <w:tcPr>
            <w:tcW w:w="875" w:type="pct"/>
            <w:shd w:val="clear" w:color="auto" w:fill="auto"/>
            <w:noWrap/>
            <w:vAlign w:val="bottom"/>
            <w:hideMark/>
          </w:tcPr>
          <w:p w14:paraId="181502E9" w14:textId="384F0EA8" w:rsidR="0096128C" w:rsidRPr="00B47608" w:rsidRDefault="0096128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4,5</w:t>
            </w:r>
          </w:p>
        </w:tc>
        <w:tc>
          <w:tcPr>
            <w:tcW w:w="875" w:type="pct"/>
            <w:shd w:val="clear" w:color="auto" w:fill="auto"/>
            <w:noWrap/>
            <w:vAlign w:val="bottom"/>
            <w:hideMark/>
          </w:tcPr>
          <w:p w14:paraId="791D6F45" w14:textId="14357F5C" w:rsidR="0096128C" w:rsidRPr="00B47608" w:rsidRDefault="0096128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w:t>
            </w:r>
          </w:p>
        </w:tc>
      </w:tr>
      <w:tr w:rsidR="0096128C" w:rsidRPr="00B47608" w14:paraId="46FCCC77" w14:textId="77777777" w:rsidTr="00731C6E">
        <w:trPr>
          <w:trHeight w:val="288"/>
        </w:trPr>
        <w:tc>
          <w:tcPr>
            <w:tcW w:w="1500" w:type="pct"/>
            <w:shd w:val="clear" w:color="auto" w:fill="auto"/>
            <w:noWrap/>
            <w:vAlign w:val="bottom"/>
            <w:hideMark/>
          </w:tcPr>
          <w:p w14:paraId="0D0C7082" w14:textId="77777777" w:rsidR="0096128C" w:rsidRPr="00B47608" w:rsidRDefault="0096128C"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50 e più</w:t>
            </w:r>
          </w:p>
        </w:tc>
        <w:tc>
          <w:tcPr>
            <w:tcW w:w="875" w:type="pct"/>
            <w:shd w:val="clear" w:color="auto" w:fill="auto"/>
            <w:noWrap/>
            <w:vAlign w:val="bottom"/>
            <w:hideMark/>
          </w:tcPr>
          <w:p w14:paraId="3144DACF" w14:textId="21E5D8AD" w:rsidR="0096128C" w:rsidRPr="00B47608" w:rsidRDefault="0096128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60,3</w:t>
            </w:r>
          </w:p>
        </w:tc>
        <w:tc>
          <w:tcPr>
            <w:tcW w:w="875" w:type="pct"/>
            <w:shd w:val="clear" w:color="auto" w:fill="auto"/>
            <w:noWrap/>
            <w:vAlign w:val="bottom"/>
            <w:hideMark/>
          </w:tcPr>
          <w:p w14:paraId="398AF7CA" w14:textId="09B62D02" w:rsidR="0096128C" w:rsidRPr="00B47608" w:rsidRDefault="0096128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32,3</w:t>
            </w:r>
          </w:p>
        </w:tc>
        <w:tc>
          <w:tcPr>
            <w:tcW w:w="875" w:type="pct"/>
            <w:shd w:val="clear" w:color="auto" w:fill="auto"/>
            <w:noWrap/>
            <w:vAlign w:val="bottom"/>
            <w:hideMark/>
          </w:tcPr>
          <w:p w14:paraId="2350C9E4" w14:textId="2CE95622" w:rsidR="0096128C" w:rsidRPr="00B47608" w:rsidRDefault="0096128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7,4</w:t>
            </w:r>
          </w:p>
        </w:tc>
        <w:tc>
          <w:tcPr>
            <w:tcW w:w="875" w:type="pct"/>
            <w:shd w:val="clear" w:color="auto" w:fill="auto"/>
            <w:noWrap/>
            <w:vAlign w:val="bottom"/>
            <w:hideMark/>
          </w:tcPr>
          <w:p w14:paraId="6D5DEA92" w14:textId="02F6A9D4" w:rsidR="0096128C" w:rsidRPr="00B47608" w:rsidRDefault="0096128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w:t>
            </w:r>
          </w:p>
        </w:tc>
      </w:tr>
      <w:tr w:rsidR="00114E08" w:rsidRPr="00B47608" w14:paraId="6865AE65" w14:textId="77777777" w:rsidTr="00731C6E">
        <w:trPr>
          <w:trHeight w:val="288"/>
        </w:trPr>
        <w:tc>
          <w:tcPr>
            <w:tcW w:w="1500" w:type="pct"/>
            <w:shd w:val="clear" w:color="auto" w:fill="auto"/>
            <w:noWrap/>
            <w:vAlign w:val="bottom"/>
          </w:tcPr>
          <w:p w14:paraId="0EF43B3E" w14:textId="5CD9623E" w:rsidR="00114E08" w:rsidRPr="00B47608" w:rsidRDefault="00114E08" w:rsidP="00ED2A57">
            <w:pPr>
              <w:spacing w:after="0" w:line="240" w:lineRule="auto"/>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Intensità di esportazione</w:t>
            </w:r>
          </w:p>
        </w:tc>
        <w:tc>
          <w:tcPr>
            <w:tcW w:w="875" w:type="pct"/>
            <w:shd w:val="clear" w:color="auto" w:fill="auto"/>
            <w:noWrap/>
            <w:vAlign w:val="bottom"/>
          </w:tcPr>
          <w:p w14:paraId="4A91837A" w14:textId="77777777" w:rsidR="00114E08" w:rsidRPr="00B47608" w:rsidRDefault="00114E08" w:rsidP="00ED2A57">
            <w:pPr>
              <w:spacing w:after="0" w:line="240" w:lineRule="auto"/>
              <w:jc w:val="center"/>
              <w:rPr>
                <w:rFonts w:eastAsia="Times New Roman" w:cs="Calibri"/>
                <w:color w:val="000000"/>
                <w:kern w:val="0"/>
                <w:lang w:eastAsia="it-IT"/>
                <w14:ligatures w14:val="none"/>
              </w:rPr>
            </w:pPr>
          </w:p>
        </w:tc>
        <w:tc>
          <w:tcPr>
            <w:tcW w:w="875" w:type="pct"/>
            <w:shd w:val="clear" w:color="auto" w:fill="auto"/>
            <w:noWrap/>
            <w:vAlign w:val="bottom"/>
          </w:tcPr>
          <w:p w14:paraId="4B6DC3E0" w14:textId="77777777" w:rsidR="00114E08" w:rsidRPr="00B47608" w:rsidRDefault="00114E08" w:rsidP="00ED2A57">
            <w:pPr>
              <w:spacing w:after="0" w:line="240" w:lineRule="auto"/>
              <w:jc w:val="center"/>
              <w:rPr>
                <w:rFonts w:eastAsia="Times New Roman" w:cs="Calibri"/>
                <w:color w:val="000000"/>
                <w:kern w:val="0"/>
                <w:lang w:eastAsia="it-IT"/>
                <w14:ligatures w14:val="none"/>
              </w:rPr>
            </w:pPr>
          </w:p>
        </w:tc>
        <w:tc>
          <w:tcPr>
            <w:tcW w:w="875" w:type="pct"/>
            <w:shd w:val="clear" w:color="auto" w:fill="auto"/>
            <w:noWrap/>
            <w:vAlign w:val="bottom"/>
          </w:tcPr>
          <w:p w14:paraId="4D003913" w14:textId="77777777" w:rsidR="00114E08" w:rsidRPr="00B47608" w:rsidRDefault="00114E08" w:rsidP="00ED2A57">
            <w:pPr>
              <w:spacing w:after="0" w:line="240" w:lineRule="auto"/>
              <w:jc w:val="center"/>
              <w:rPr>
                <w:rFonts w:eastAsia="Times New Roman" w:cs="Calibri"/>
                <w:color w:val="000000"/>
                <w:kern w:val="0"/>
                <w:lang w:eastAsia="it-IT"/>
                <w14:ligatures w14:val="none"/>
              </w:rPr>
            </w:pPr>
          </w:p>
        </w:tc>
        <w:tc>
          <w:tcPr>
            <w:tcW w:w="875" w:type="pct"/>
            <w:shd w:val="clear" w:color="auto" w:fill="auto"/>
            <w:noWrap/>
            <w:vAlign w:val="bottom"/>
          </w:tcPr>
          <w:p w14:paraId="1C9A596F" w14:textId="77777777" w:rsidR="00114E08" w:rsidRPr="00B47608" w:rsidRDefault="00114E08" w:rsidP="00ED2A57">
            <w:pPr>
              <w:spacing w:after="0" w:line="240" w:lineRule="auto"/>
              <w:jc w:val="center"/>
              <w:rPr>
                <w:rFonts w:eastAsia="Times New Roman" w:cs="Calibri"/>
                <w:color w:val="000000"/>
                <w:kern w:val="0"/>
                <w:lang w:eastAsia="it-IT"/>
                <w14:ligatures w14:val="none"/>
              </w:rPr>
            </w:pPr>
          </w:p>
        </w:tc>
      </w:tr>
      <w:tr w:rsidR="0096128C" w:rsidRPr="00B47608" w14:paraId="514035D1" w14:textId="77777777" w:rsidTr="00731C6E">
        <w:trPr>
          <w:trHeight w:val="288"/>
        </w:trPr>
        <w:tc>
          <w:tcPr>
            <w:tcW w:w="1500" w:type="pct"/>
            <w:shd w:val="clear" w:color="auto" w:fill="auto"/>
            <w:noWrap/>
            <w:vAlign w:val="bottom"/>
            <w:hideMark/>
          </w:tcPr>
          <w:p w14:paraId="30B864A9" w14:textId="77777777" w:rsidR="0096128C" w:rsidRPr="00B47608" w:rsidRDefault="0096128C"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Non esportatori</w:t>
            </w:r>
          </w:p>
        </w:tc>
        <w:tc>
          <w:tcPr>
            <w:tcW w:w="875" w:type="pct"/>
            <w:shd w:val="clear" w:color="auto" w:fill="auto"/>
            <w:noWrap/>
            <w:vAlign w:val="bottom"/>
            <w:hideMark/>
          </w:tcPr>
          <w:p w14:paraId="2CFA820F" w14:textId="486C052F" w:rsidR="0096128C" w:rsidRPr="00B47608" w:rsidRDefault="0096128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58,4</w:t>
            </w:r>
          </w:p>
        </w:tc>
        <w:tc>
          <w:tcPr>
            <w:tcW w:w="875" w:type="pct"/>
            <w:shd w:val="clear" w:color="auto" w:fill="auto"/>
            <w:noWrap/>
            <w:vAlign w:val="bottom"/>
            <w:hideMark/>
          </w:tcPr>
          <w:p w14:paraId="215C4B0C" w14:textId="730FC14D" w:rsidR="0096128C" w:rsidRPr="00B47608" w:rsidRDefault="0096128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35,9</w:t>
            </w:r>
          </w:p>
        </w:tc>
        <w:tc>
          <w:tcPr>
            <w:tcW w:w="875" w:type="pct"/>
            <w:shd w:val="clear" w:color="auto" w:fill="auto"/>
            <w:noWrap/>
            <w:vAlign w:val="bottom"/>
            <w:hideMark/>
          </w:tcPr>
          <w:p w14:paraId="6CB7DDC7" w14:textId="3E779006" w:rsidR="0096128C" w:rsidRPr="00B47608" w:rsidRDefault="0096128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5,7</w:t>
            </w:r>
          </w:p>
        </w:tc>
        <w:tc>
          <w:tcPr>
            <w:tcW w:w="875" w:type="pct"/>
            <w:shd w:val="clear" w:color="auto" w:fill="auto"/>
            <w:noWrap/>
            <w:vAlign w:val="bottom"/>
            <w:hideMark/>
          </w:tcPr>
          <w:p w14:paraId="64C41400" w14:textId="1BE86108" w:rsidR="0096128C" w:rsidRPr="00B47608" w:rsidRDefault="0096128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w:t>
            </w:r>
          </w:p>
        </w:tc>
      </w:tr>
      <w:tr w:rsidR="0096128C" w:rsidRPr="00B47608" w14:paraId="61F7D3AB" w14:textId="77777777" w:rsidTr="00731C6E">
        <w:trPr>
          <w:trHeight w:val="288"/>
        </w:trPr>
        <w:tc>
          <w:tcPr>
            <w:tcW w:w="1500" w:type="pct"/>
            <w:shd w:val="clear" w:color="auto" w:fill="auto"/>
            <w:noWrap/>
            <w:vAlign w:val="bottom"/>
            <w:hideMark/>
          </w:tcPr>
          <w:p w14:paraId="275D6965" w14:textId="77777777" w:rsidR="0096128C" w:rsidRPr="00B47608" w:rsidRDefault="0096128C"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Esportatori</w:t>
            </w:r>
          </w:p>
        </w:tc>
        <w:tc>
          <w:tcPr>
            <w:tcW w:w="875" w:type="pct"/>
            <w:shd w:val="clear" w:color="auto" w:fill="auto"/>
            <w:noWrap/>
            <w:vAlign w:val="bottom"/>
            <w:hideMark/>
          </w:tcPr>
          <w:p w14:paraId="45A112B2" w14:textId="38CDF7BC" w:rsidR="0096128C" w:rsidRPr="00B47608" w:rsidRDefault="0096128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58,5</w:t>
            </w:r>
          </w:p>
        </w:tc>
        <w:tc>
          <w:tcPr>
            <w:tcW w:w="875" w:type="pct"/>
            <w:shd w:val="clear" w:color="auto" w:fill="auto"/>
            <w:noWrap/>
            <w:vAlign w:val="bottom"/>
            <w:hideMark/>
          </w:tcPr>
          <w:p w14:paraId="4F5709AF" w14:textId="50A5AC9B" w:rsidR="0096128C" w:rsidRPr="00B47608" w:rsidRDefault="0096128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36,3</w:t>
            </w:r>
          </w:p>
        </w:tc>
        <w:tc>
          <w:tcPr>
            <w:tcW w:w="875" w:type="pct"/>
            <w:shd w:val="clear" w:color="auto" w:fill="auto"/>
            <w:noWrap/>
            <w:vAlign w:val="bottom"/>
            <w:hideMark/>
          </w:tcPr>
          <w:p w14:paraId="591B624D" w14:textId="7EDB90D2" w:rsidR="0096128C" w:rsidRPr="00B47608" w:rsidRDefault="0096128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5,1</w:t>
            </w:r>
          </w:p>
        </w:tc>
        <w:tc>
          <w:tcPr>
            <w:tcW w:w="875" w:type="pct"/>
            <w:shd w:val="clear" w:color="auto" w:fill="auto"/>
            <w:noWrap/>
            <w:vAlign w:val="bottom"/>
            <w:hideMark/>
          </w:tcPr>
          <w:p w14:paraId="0A971B1D" w14:textId="5C0BE258" w:rsidR="0096128C" w:rsidRPr="00B47608" w:rsidRDefault="0096128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w:t>
            </w:r>
          </w:p>
        </w:tc>
      </w:tr>
      <w:tr w:rsidR="0096128C" w:rsidRPr="00B47608" w14:paraId="1F2A06A6" w14:textId="77777777" w:rsidTr="00731C6E">
        <w:trPr>
          <w:trHeight w:val="288"/>
        </w:trPr>
        <w:tc>
          <w:tcPr>
            <w:tcW w:w="1500" w:type="pct"/>
            <w:shd w:val="clear" w:color="auto" w:fill="auto"/>
            <w:noWrap/>
            <w:vAlign w:val="bottom"/>
            <w:hideMark/>
          </w:tcPr>
          <w:p w14:paraId="7B80206F" w14:textId="77777777" w:rsidR="0096128C" w:rsidRPr="00B47608" w:rsidRDefault="0096128C"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Forti esportatori</w:t>
            </w:r>
          </w:p>
        </w:tc>
        <w:tc>
          <w:tcPr>
            <w:tcW w:w="875" w:type="pct"/>
            <w:shd w:val="clear" w:color="auto" w:fill="auto"/>
            <w:noWrap/>
            <w:vAlign w:val="bottom"/>
            <w:hideMark/>
          </w:tcPr>
          <w:p w14:paraId="7D692FF1" w14:textId="347881CD" w:rsidR="0096128C" w:rsidRPr="00B47608" w:rsidRDefault="0096128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55,1</w:t>
            </w:r>
          </w:p>
        </w:tc>
        <w:tc>
          <w:tcPr>
            <w:tcW w:w="875" w:type="pct"/>
            <w:shd w:val="clear" w:color="auto" w:fill="auto"/>
            <w:noWrap/>
            <w:vAlign w:val="bottom"/>
            <w:hideMark/>
          </w:tcPr>
          <w:p w14:paraId="476126DD" w14:textId="0E186E0B" w:rsidR="0096128C" w:rsidRPr="00B47608" w:rsidRDefault="0096128C" w:rsidP="00ED2A57">
            <w:pPr>
              <w:spacing w:after="0" w:line="240" w:lineRule="auto"/>
              <w:jc w:val="center"/>
              <w:rPr>
                <w:rFonts w:eastAsia="Times New Roman" w:cs="Calibri"/>
                <w:color w:val="000000"/>
                <w:kern w:val="0"/>
                <w:highlight w:val="cyan"/>
                <w:lang w:eastAsia="it-IT"/>
                <w14:ligatures w14:val="none"/>
              </w:rPr>
            </w:pPr>
            <w:r w:rsidRPr="00B47608">
              <w:rPr>
                <w:rFonts w:eastAsia="Times New Roman" w:cs="Calibri"/>
                <w:color w:val="000000"/>
                <w:kern w:val="0"/>
                <w:lang w:eastAsia="it-IT"/>
                <w14:ligatures w14:val="none"/>
              </w:rPr>
              <w:t>43,4</w:t>
            </w:r>
          </w:p>
        </w:tc>
        <w:tc>
          <w:tcPr>
            <w:tcW w:w="875" w:type="pct"/>
            <w:shd w:val="clear" w:color="auto" w:fill="auto"/>
            <w:noWrap/>
            <w:vAlign w:val="bottom"/>
            <w:hideMark/>
          </w:tcPr>
          <w:p w14:paraId="751CBEEE" w14:textId="5A4243EE" w:rsidR="0096128C" w:rsidRPr="00B47608" w:rsidRDefault="0096128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1,4</w:t>
            </w:r>
          </w:p>
        </w:tc>
        <w:tc>
          <w:tcPr>
            <w:tcW w:w="875" w:type="pct"/>
            <w:shd w:val="clear" w:color="auto" w:fill="auto"/>
            <w:noWrap/>
            <w:vAlign w:val="bottom"/>
            <w:hideMark/>
          </w:tcPr>
          <w:p w14:paraId="6AD597B6" w14:textId="7B422111" w:rsidR="0096128C" w:rsidRPr="00B47608" w:rsidRDefault="0096128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w:t>
            </w:r>
          </w:p>
        </w:tc>
      </w:tr>
    </w:tbl>
    <w:p w14:paraId="3E603DA1" w14:textId="77777777" w:rsidR="00114E08" w:rsidRPr="00B47608" w:rsidRDefault="00114E08" w:rsidP="00ED2A57">
      <w:pPr>
        <w:spacing w:after="0"/>
      </w:pPr>
      <w:r w:rsidRPr="00B47608">
        <w:t>Fonte: Fondazione Nord Est (463 casi)</w:t>
      </w:r>
    </w:p>
    <w:p w14:paraId="7B50A251" w14:textId="77777777" w:rsidR="0096128C" w:rsidRPr="00B47608" w:rsidRDefault="0096128C" w:rsidP="00ED2A57">
      <w:pPr>
        <w:spacing w:after="0"/>
      </w:pPr>
    </w:p>
    <w:p w14:paraId="64D32269" w14:textId="77777777" w:rsidR="00646B5C" w:rsidRPr="00B47608" w:rsidRDefault="00646B5C" w:rsidP="00ED2A57">
      <w:pPr>
        <w:spacing w:after="0"/>
        <w:jc w:val="center"/>
      </w:pPr>
    </w:p>
    <w:p w14:paraId="030CD5D7" w14:textId="7BABA4EA" w:rsidR="00253DE7" w:rsidRPr="00B47608" w:rsidRDefault="00253DE7" w:rsidP="00ED2A57">
      <w:pPr>
        <w:spacing w:after="0"/>
      </w:pPr>
      <w:r w:rsidRPr="00B47608">
        <w:br w:type="page"/>
      </w:r>
    </w:p>
    <w:p w14:paraId="2CE53450" w14:textId="4B22BFD9" w:rsidR="00253DE7" w:rsidRPr="00B47608" w:rsidRDefault="008878A1" w:rsidP="00ED2A57">
      <w:pPr>
        <w:pStyle w:val="Titolo2"/>
        <w:spacing w:after="0"/>
        <w:rPr>
          <w:rFonts w:asciiTheme="minorHAnsi" w:hAnsiTheme="minorHAnsi"/>
        </w:rPr>
      </w:pPr>
      <w:bookmarkStart w:id="16" w:name="_Toc193106860"/>
      <w:r w:rsidRPr="00B47608">
        <w:rPr>
          <w:rFonts w:asciiTheme="minorHAnsi" w:hAnsiTheme="minorHAnsi"/>
        </w:rPr>
        <w:lastRenderedPageBreak/>
        <w:t xml:space="preserve">4. </w:t>
      </w:r>
      <w:r w:rsidR="00253DE7" w:rsidRPr="00B47608">
        <w:rPr>
          <w:rFonts w:asciiTheme="minorHAnsi" w:hAnsiTheme="minorHAnsi"/>
        </w:rPr>
        <w:t>Le reti di fornitura</w:t>
      </w:r>
      <w:bookmarkEnd w:id="16"/>
    </w:p>
    <w:p w14:paraId="65E2E6A2" w14:textId="77777777" w:rsidR="00253DE7" w:rsidRPr="00B47608" w:rsidRDefault="00253DE7" w:rsidP="00ED2A57">
      <w:pPr>
        <w:spacing w:after="0"/>
      </w:pPr>
    </w:p>
    <w:p w14:paraId="18610214" w14:textId="77777777" w:rsidR="00253DE7" w:rsidRPr="00B47608" w:rsidRDefault="00253DE7" w:rsidP="00ED2A57">
      <w:pPr>
        <w:spacing w:after="0"/>
      </w:pPr>
    </w:p>
    <w:p w14:paraId="44FD2570" w14:textId="2DC3D139" w:rsidR="00F50211" w:rsidRPr="00B47608" w:rsidRDefault="00494C22" w:rsidP="004D1ACE">
      <w:pPr>
        <w:spacing w:after="0"/>
        <w:jc w:val="both"/>
      </w:pPr>
      <w:r w:rsidRPr="00B47608">
        <w:t>Le reti di fornitura internazionali stanno subendo una profonda trasformazione, guidata dalla necessità di maggiore resilienza e adattabilità a fronte di shock globali.</w:t>
      </w:r>
      <w:r w:rsidR="008D6AEC" w:rsidRPr="00B47608">
        <w:t xml:space="preserve"> I fenomeni ai quali si sta assistendo sono diversi: c’è</w:t>
      </w:r>
      <w:r w:rsidRPr="00B47608">
        <w:t xml:space="preserve"> una tendenza alla diversificazione delle fonti di approvvigionamento, con una minore dipendenza da singoli fornitori </w:t>
      </w:r>
      <w:r w:rsidR="00502F09" w:rsidRPr="00B47608">
        <w:t>e</w:t>
      </w:r>
      <w:r w:rsidR="008D6AEC" w:rsidRPr="00B47608">
        <w:t xml:space="preserve"> </w:t>
      </w:r>
      <w:r w:rsidR="00502F09" w:rsidRPr="00B47608">
        <w:t>una riduzione della</w:t>
      </w:r>
      <w:r w:rsidR="004747A2" w:rsidRPr="00B47608">
        <w:t xml:space="preserve"> concentrazione degli approvvigionament</w:t>
      </w:r>
      <w:r w:rsidR="00502F09" w:rsidRPr="00B47608">
        <w:t>i</w:t>
      </w:r>
      <w:r w:rsidR="004747A2" w:rsidRPr="00B47608">
        <w:t xml:space="preserve"> in alcune</w:t>
      </w:r>
      <w:r w:rsidRPr="00B47608">
        <w:t xml:space="preserve"> aree geografiche, al fine di mitigare i rischi di interruzioni. Parallelamente, alcune aziende optano per il rientro di attività produttive nel paese d'origine o per la </w:t>
      </w:r>
      <w:r w:rsidR="00A37431">
        <w:t>rilocalizzazione</w:t>
      </w:r>
      <w:r w:rsidRPr="00B47608">
        <w:t xml:space="preserve"> verso partner considerati più affidabili, in risposta a considerazioni di natura geopolitica, economica o logistica.</w:t>
      </w:r>
    </w:p>
    <w:p w14:paraId="07B934C1" w14:textId="1F8027DA" w:rsidR="00494C22" w:rsidRPr="00B47608" w:rsidRDefault="00F50211" w:rsidP="004D1ACE">
      <w:pPr>
        <w:spacing w:after="0"/>
        <w:jc w:val="both"/>
        <w:rPr>
          <w:highlight w:val="yellow"/>
        </w:rPr>
      </w:pPr>
      <w:r w:rsidRPr="00B47608">
        <w:t>Anche l</w:t>
      </w:r>
      <w:r w:rsidR="00494C22" w:rsidRPr="00B47608">
        <w:t xml:space="preserve">'innovazione tecnologica, </w:t>
      </w:r>
      <w:r w:rsidRPr="00B47608">
        <w:t>attraverso</w:t>
      </w:r>
      <w:r w:rsidR="00494C22" w:rsidRPr="00B47608">
        <w:t xml:space="preserve"> l'automazione e la digitalizzazione dei processi, gioca un ruolo cruciale nell'ottimizzazione delle catene di approvvigionamento, consentendo</w:t>
      </w:r>
      <w:r w:rsidRPr="00B47608">
        <w:t>, ad esempio, una</w:t>
      </w:r>
      <w:r w:rsidR="00494C22" w:rsidRPr="00B47608">
        <w:t xml:space="preserve"> maggiore tracciabilità, efficienza e reattività. Infine, cresce l'attenzione alla sostenibilità ambientale e sociale, con la richiesta di filiere più trasparenti e responsabili.</w:t>
      </w:r>
    </w:p>
    <w:p w14:paraId="3E3DC69E" w14:textId="77777777" w:rsidR="00901F41" w:rsidRPr="00B47608" w:rsidRDefault="00901F41" w:rsidP="00ED2A57">
      <w:pPr>
        <w:spacing w:after="0"/>
      </w:pPr>
    </w:p>
    <w:p w14:paraId="3662E417" w14:textId="731E501E" w:rsidR="00CA5AA6" w:rsidRPr="00B47608" w:rsidRDefault="00C57A68" w:rsidP="00ED2A57">
      <w:pPr>
        <w:spacing w:after="0"/>
        <w:rPr>
          <w:b/>
          <w:bCs/>
        </w:rPr>
      </w:pPr>
      <w:r w:rsidRPr="00B47608">
        <w:rPr>
          <w:b/>
          <w:bCs/>
        </w:rPr>
        <w:t xml:space="preserve">Tab. 4.1 </w:t>
      </w:r>
      <w:r w:rsidR="00CA5AA6" w:rsidRPr="00B47608">
        <w:rPr>
          <w:b/>
          <w:bCs/>
        </w:rPr>
        <w:t xml:space="preserve">Pensi ai fornitori strategici della sua impresa. Negli ultimi due anni ne avete cambiato almeno uno? </w:t>
      </w:r>
      <w:r w:rsidR="00D84A48" w:rsidRPr="00B47608">
        <w:rPr>
          <w:b/>
          <w:bCs/>
        </w:rPr>
        <w:t>(Val.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59"/>
        <w:gridCol w:w="1692"/>
        <w:gridCol w:w="1693"/>
        <w:gridCol w:w="1693"/>
        <w:gridCol w:w="1691"/>
      </w:tblGrid>
      <w:tr w:rsidR="006A1E64" w:rsidRPr="00B47608" w14:paraId="59B950E7" w14:textId="77777777" w:rsidTr="00CA5AA6">
        <w:trPr>
          <w:trHeight w:val="288"/>
        </w:trPr>
        <w:tc>
          <w:tcPr>
            <w:tcW w:w="1485" w:type="pct"/>
            <w:shd w:val="clear" w:color="auto" w:fill="auto"/>
            <w:noWrap/>
            <w:vAlign w:val="bottom"/>
          </w:tcPr>
          <w:p w14:paraId="1E3DA17F" w14:textId="77777777" w:rsidR="006A1E64" w:rsidRPr="00B47608" w:rsidRDefault="006A1E64" w:rsidP="00ED2A57">
            <w:pPr>
              <w:spacing w:after="0" w:line="240" w:lineRule="auto"/>
              <w:rPr>
                <w:rFonts w:eastAsia="Times New Roman" w:cs="Calibri"/>
                <w:b/>
                <w:bCs/>
                <w:color w:val="000000"/>
                <w:kern w:val="0"/>
                <w:lang w:eastAsia="it-IT"/>
                <w14:ligatures w14:val="none"/>
              </w:rPr>
            </w:pPr>
          </w:p>
        </w:tc>
        <w:tc>
          <w:tcPr>
            <w:tcW w:w="879" w:type="pct"/>
            <w:shd w:val="clear" w:color="auto" w:fill="auto"/>
            <w:noWrap/>
            <w:vAlign w:val="bottom"/>
          </w:tcPr>
          <w:p w14:paraId="3D69432E" w14:textId="6DBDF32E" w:rsidR="006A1E64" w:rsidRPr="00B47608" w:rsidRDefault="006A1E64"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Sì</w:t>
            </w:r>
          </w:p>
        </w:tc>
        <w:tc>
          <w:tcPr>
            <w:tcW w:w="879" w:type="pct"/>
            <w:shd w:val="clear" w:color="auto" w:fill="auto"/>
            <w:noWrap/>
            <w:vAlign w:val="bottom"/>
          </w:tcPr>
          <w:p w14:paraId="0A42FE7A" w14:textId="420D37BD" w:rsidR="006A1E64" w:rsidRPr="00B47608" w:rsidRDefault="006A1E64"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No</w:t>
            </w:r>
          </w:p>
        </w:tc>
        <w:tc>
          <w:tcPr>
            <w:tcW w:w="879" w:type="pct"/>
            <w:shd w:val="clear" w:color="auto" w:fill="auto"/>
            <w:noWrap/>
            <w:vAlign w:val="bottom"/>
          </w:tcPr>
          <w:p w14:paraId="47293BBA" w14:textId="7A3249BB" w:rsidR="006A1E64" w:rsidRPr="00B47608" w:rsidRDefault="006A1E64" w:rsidP="00ED2A57">
            <w:pPr>
              <w:spacing w:after="0" w:line="240" w:lineRule="auto"/>
              <w:jc w:val="center"/>
              <w:rPr>
                <w:rFonts w:eastAsia="Times New Roman" w:cs="Calibri"/>
                <w:b/>
                <w:bCs/>
                <w:color w:val="000000"/>
                <w:kern w:val="0"/>
                <w:lang w:eastAsia="it-IT"/>
                <w14:ligatures w14:val="none"/>
              </w:rPr>
            </w:pPr>
            <w:proofErr w:type="spellStart"/>
            <w:r w:rsidRPr="00B47608">
              <w:rPr>
                <w:rFonts w:eastAsia="Times New Roman" w:cs="Calibri"/>
                <w:b/>
                <w:bCs/>
                <w:color w:val="000000"/>
                <w:kern w:val="0"/>
                <w:lang w:eastAsia="it-IT"/>
                <w14:ligatures w14:val="none"/>
              </w:rPr>
              <w:t>n.r</w:t>
            </w:r>
            <w:proofErr w:type="spellEnd"/>
            <w:r w:rsidRPr="00B47608">
              <w:rPr>
                <w:rFonts w:eastAsia="Times New Roman" w:cs="Calibri"/>
                <w:b/>
                <w:bCs/>
                <w:color w:val="000000"/>
                <w:kern w:val="0"/>
                <w:lang w:eastAsia="it-IT"/>
                <w14:ligatures w14:val="none"/>
              </w:rPr>
              <w:t>.</w:t>
            </w:r>
          </w:p>
        </w:tc>
        <w:tc>
          <w:tcPr>
            <w:tcW w:w="879" w:type="pct"/>
            <w:shd w:val="clear" w:color="auto" w:fill="auto"/>
            <w:noWrap/>
            <w:vAlign w:val="bottom"/>
          </w:tcPr>
          <w:p w14:paraId="13E52B42" w14:textId="390B860E" w:rsidR="006A1E64" w:rsidRPr="00B47608" w:rsidRDefault="006A1E64"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Totale</w:t>
            </w:r>
          </w:p>
        </w:tc>
      </w:tr>
      <w:tr w:rsidR="006A1E64" w:rsidRPr="00B47608" w14:paraId="3DBF692D" w14:textId="77777777" w:rsidTr="00CA5AA6">
        <w:trPr>
          <w:trHeight w:val="288"/>
        </w:trPr>
        <w:tc>
          <w:tcPr>
            <w:tcW w:w="1485" w:type="pct"/>
            <w:shd w:val="clear" w:color="auto" w:fill="auto"/>
            <w:noWrap/>
            <w:vAlign w:val="bottom"/>
            <w:hideMark/>
          </w:tcPr>
          <w:p w14:paraId="4101F177" w14:textId="77777777" w:rsidR="006A1E64" w:rsidRPr="00B47608" w:rsidRDefault="006A1E64" w:rsidP="00ED2A57">
            <w:pPr>
              <w:spacing w:after="0" w:line="240" w:lineRule="auto"/>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Tutti</w:t>
            </w:r>
          </w:p>
        </w:tc>
        <w:tc>
          <w:tcPr>
            <w:tcW w:w="879" w:type="pct"/>
            <w:shd w:val="clear" w:color="auto" w:fill="auto"/>
            <w:noWrap/>
            <w:vAlign w:val="bottom"/>
            <w:hideMark/>
          </w:tcPr>
          <w:p w14:paraId="02993DCC" w14:textId="21E753C8" w:rsidR="006A1E64" w:rsidRPr="00B47608" w:rsidRDefault="006A1E64"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31,3</w:t>
            </w:r>
          </w:p>
        </w:tc>
        <w:tc>
          <w:tcPr>
            <w:tcW w:w="879" w:type="pct"/>
            <w:shd w:val="clear" w:color="auto" w:fill="auto"/>
            <w:noWrap/>
            <w:vAlign w:val="bottom"/>
            <w:hideMark/>
          </w:tcPr>
          <w:p w14:paraId="4BE46D3C" w14:textId="4285E39E" w:rsidR="006A1E64" w:rsidRPr="00B47608" w:rsidRDefault="006A1E64"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67,2</w:t>
            </w:r>
          </w:p>
        </w:tc>
        <w:tc>
          <w:tcPr>
            <w:tcW w:w="879" w:type="pct"/>
            <w:shd w:val="clear" w:color="auto" w:fill="auto"/>
            <w:noWrap/>
            <w:vAlign w:val="bottom"/>
            <w:hideMark/>
          </w:tcPr>
          <w:p w14:paraId="153F847F" w14:textId="2579F493" w:rsidR="006A1E64" w:rsidRPr="00B47608" w:rsidRDefault="006A1E64"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1,5</w:t>
            </w:r>
          </w:p>
        </w:tc>
        <w:tc>
          <w:tcPr>
            <w:tcW w:w="879" w:type="pct"/>
            <w:shd w:val="clear" w:color="auto" w:fill="auto"/>
            <w:noWrap/>
            <w:vAlign w:val="bottom"/>
            <w:hideMark/>
          </w:tcPr>
          <w:p w14:paraId="40CAC39E" w14:textId="3F534F25" w:rsidR="006A1E64" w:rsidRPr="00B47608" w:rsidRDefault="006A1E64"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100</w:t>
            </w:r>
          </w:p>
        </w:tc>
      </w:tr>
      <w:tr w:rsidR="006A1E64" w:rsidRPr="00B47608" w14:paraId="6530FCCA" w14:textId="77777777" w:rsidTr="00CA5AA6">
        <w:trPr>
          <w:trHeight w:val="288"/>
        </w:trPr>
        <w:tc>
          <w:tcPr>
            <w:tcW w:w="1485" w:type="pct"/>
            <w:shd w:val="clear" w:color="auto" w:fill="auto"/>
            <w:noWrap/>
            <w:vAlign w:val="bottom"/>
            <w:hideMark/>
          </w:tcPr>
          <w:p w14:paraId="7332C8F3" w14:textId="77777777" w:rsidR="006A1E64" w:rsidRPr="00B47608" w:rsidRDefault="006A1E64" w:rsidP="00ED2A57">
            <w:pPr>
              <w:spacing w:after="0" w:line="240" w:lineRule="auto"/>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Macrosettore</w:t>
            </w:r>
          </w:p>
        </w:tc>
        <w:tc>
          <w:tcPr>
            <w:tcW w:w="879" w:type="pct"/>
            <w:shd w:val="clear" w:color="auto" w:fill="auto"/>
            <w:noWrap/>
            <w:vAlign w:val="bottom"/>
            <w:hideMark/>
          </w:tcPr>
          <w:p w14:paraId="7E53F7CD" w14:textId="77777777" w:rsidR="006A1E64" w:rsidRPr="00B47608" w:rsidRDefault="006A1E64" w:rsidP="00ED2A57">
            <w:pPr>
              <w:spacing w:after="0" w:line="240" w:lineRule="auto"/>
              <w:jc w:val="center"/>
              <w:rPr>
                <w:rFonts w:eastAsia="Times New Roman" w:cs="Calibri"/>
                <w:b/>
                <w:bCs/>
                <w:color w:val="000000"/>
                <w:kern w:val="0"/>
                <w:lang w:eastAsia="it-IT"/>
                <w14:ligatures w14:val="none"/>
              </w:rPr>
            </w:pPr>
          </w:p>
        </w:tc>
        <w:tc>
          <w:tcPr>
            <w:tcW w:w="879" w:type="pct"/>
            <w:shd w:val="clear" w:color="auto" w:fill="auto"/>
            <w:noWrap/>
            <w:vAlign w:val="bottom"/>
            <w:hideMark/>
          </w:tcPr>
          <w:p w14:paraId="76567878" w14:textId="77777777" w:rsidR="006A1E64" w:rsidRPr="00B47608" w:rsidRDefault="006A1E64" w:rsidP="00ED2A57">
            <w:pPr>
              <w:spacing w:after="0" w:line="240" w:lineRule="auto"/>
              <w:jc w:val="center"/>
              <w:rPr>
                <w:rFonts w:eastAsia="Times New Roman" w:cs="Times New Roman"/>
                <w:kern w:val="0"/>
                <w:sz w:val="20"/>
                <w:szCs w:val="20"/>
                <w:lang w:eastAsia="it-IT"/>
                <w14:ligatures w14:val="none"/>
              </w:rPr>
            </w:pPr>
          </w:p>
        </w:tc>
        <w:tc>
          <w:tcPr>
            <w:tcW w:w="879" w:type="pct"/>
            <w:shd w:val="clear" w:color="auto" w:fill="auto"/>
            <w:noWrap/>
            <w:vAlign w:val="bottom"/>
            <w:hideMark/>
          </w:tcPr>
          <w:p w14:paraId="6E587D51" w14:textId="77777777" w:rsidR="006A1E64" w:rsidRPr="00B47608" w:rsidRDefault="006A1E64" w:rsidP="00ED2A57">
            <w:pPr>
              <w:spacing w:after="0" w:line="240" w:lineRule="auto"/>
              <w:jc w:val="center"/>
              <w:rPr>
                <w:rFonts w:eastAsia="Times New Roman" w:cs="Times New Roman"/>
                <w:kern w:val="0"/>
                <w:sz w:val="20"/>
                <w:szCs w:val="20"/>
                <w:lang w:eastAsia="it-IT"/>
                <w14:ligatures w14:val="none"/>
              </w:rPr>
            </w:pPr>
          </w:p>
        </w:tc>
        <w:tc>
          <w:tcPr>
            <w:tcW w:w="879" w:type="pct"/>
            <w:shd w:val="clear" w:color="auto" w:fill="auto"/>
            <w:noWrap/>
            <w:vAlign w:val="bottom"/>
            <w:hideMark/>
          </w:tcPr>
          <w:p w14:paraId="53CC71A7" w14:textId="77777777" w:rsidR="006A1E64" w:rsidRPr="00B47608" w:rsidRDefault="006A1E64" w:rsidP="00ED2A57">
            <w:pPr>
              <w:spacing w:after="0" w:line="240" w:lineRule="auto"/>
              <w:jc w:val="center"/>
              <w:rPr>
                <w:rFonts w:eastAsia="Times New Roman" w:cs="Times New Roman"/>
                <w:kern w:val="0"/>
                <w:sz w:val="20"/>
                <w:szCs w:val="20"/>
                <w:lang w:eastAsia="it-IT"/>
                <w14:ligatures w14:val="none"/>
              </w:rPr>
            </w:pPr>
          </w:p>
        </w:tc>
      </w:tr>
      <w:tr w:rsidR="006A1E64" w:rsidRPr="00B47608" w14:paraId="5FA6F973" w14:textId="77777777" w:rsidTr="00CA5AA6">
        <w:trPr>
          <w:trHeight w:val="288"/>
        </w:trPr>
        <w:tc>
          <w:tcPr>
            <w:tcW w:w="1485" w:type="pct"/>
            <w:shd w:val="clear" w:color="auto" w:fill="auto"/>
            <w:noWrap/>
            <w:vAlign w:val="bottom"/>
            <w:hideMark/>
          </w:tcPr>
          <w:p w14:paraId="235ECB85" w14:textId="77777777" w:rsidR="006A1E64" w:rsidRPr="00B47608" w:rsidRDefault="006A1E64"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Altri settori</w:t>
            </w:r>
          </w:p>
        </w:tc>
        <w:tc>
          <w:tcPr>
            <w:tcW w:w="879" w:type="pct"/>
            <w:shd w:val="clear" w:color="auto" w:fill="auto"/>
            <w:noWrap/>
            <w:vAlign w:val="bottom"/>
            <w:hideMark/>
          </w:tcPr>
          <w:p w14:paraId="06B263A5" w14:textId="2257D7E0" w:rsidR="006A1E64" w:rsidRPr="00B47608" w:rsidRDefault="006A1E64"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28,5</w:t>
            </w:r>
          </w:p>
        </w:tc>
        <w:tc>
          <w:tcPr>
            <w:tcW w:w="879" w:type="pct"/>
            <w:shd w:val="clear" w:color="auto" w:fill="auto"/>
            <w:noWrap/>
            <w:vAlign w:val="bottom"/>
            <w:hideMark/>
          </w:tcPr>
          <w:p w14:paraId="04A55882" w14:textId="1F0170A3" w:rsidR="006A1E64" w:rsidRPr="00B47608" w:rsidRDefault="006A1E64"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69,5</w:t>
            </w:r>
          </w:p>
        </w:tc>
        <w:tc>
          <w:tcPr>
            <w:tcW w:w="879" w:type="pct"/>
            <w:shd w:val="clear" w:color="auto" w:fill="auto"/>
            <w:noWrap/>
            <w:vAlign w:val="bottom"/>
            <w:hideMark/>
          </w:tcPr>
          <w:p w14:paraId="5641231B" w14:textId="154AE2E7" w:rsidR="006A1E64" w:rsidRPr="00B47608" w:rsidRDefault="006A1E64"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2,1</w:t>
            </w:r>
          </w:p>
        </w:tc>
        <w:tc>
          <w:tcPr>
            <w:tcW w:w="879" w:type="pct"/>
            <w:shd w:val="clear" w:color="auto" w:fill="auto"/>
            <w:noWrap/>
            <w:vAlign w:val="bottom"/>
            <w:hideMark/>
          </w:tcPr>
          <w:p w14:paraId="1BEC9F46" w14:textId="55E7FAAE" w:rsidR="006A1E64" w:rsidRPr="00B47608" w:rsidRDefault="006A1E64"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w:t>
            </w:r>
          </w:p>
        </w:tc>
      </w:tr>
      <w:tr w:rsidR="006A1E64" w:rsidRPr="00B47608" w14:paraId="54D7C547" w14:textId="77777777" w:rsidTr="00CA5AA6">
        <w:trPr>
          <w:trHeight w:val="288"/>
        </w:trPr>
        <w:tc>
          <w:tcPr>
            <w:tcW w:w="1485" w:type="pct"/>
            <w:shd w:val="clear" w:color="auto" w:fill="auto"/>
            <w:noWrap/>
            <w:vAlign w:val="bottom"/>
            <w:hideMark/>
          </w:tcPr>
          <w:p w14:paraId="23BC9363" w14:textId="77777777" w:rsidR="006A1E64" w:rsidRPr="00B47608" w:rsidRDefault="006A1E64"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Metalmeccanica</w:t>
            </w:r>
          </w:p>
        </w:tc>
        <w:tc>
          <w:tcPr>
            <w:tcW w:w="879" w:type="pct"/>
            <w:shd w:val="clear" w:color="auto" w:fill="auto"/>
            <w:noWrap/>
            <w:vAlign w:val="bottom"/>
            <w:hideMark/>
          </w:tcPr>
          <w:p w14:paraId="146EF1F1" w14:textId="1F8A9848" w:rsidR="006A1E64" w:rsidRPr="00B47608" w:rsidRDefault="006A1E64"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35,4</w:t>
            </w:r>
          </w:p>
        </w:tc>
        <w:tc>
          <w:tcPr>
            <w:tcW w:w="879" w:type="pct"/>
            <w:shd w:val="clear" w:color="auto" w:fill="auto"/>
            <w:noWrap/>
            <w:vAlign w:val="bottom"/>
            <w:hideMark/>
          </w:tcPr>
          <w:p w14:paraId="7F446E22" w14:textId="2300B855" w:rsidR="006A1E64" w:rsidRPr="00B47608" w:rsidRDefault="006A1E64"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64,0</w:t>
            </w:r>
          </w:p>
        </w:tc>
        <w:tc>
          <w:tcPr>
            <w:tcW w:w="879" w:type="pct"/>
            <w:shd w:val="clear" w:color="auto" w:fill="auto"/>
            <w:noWrap/>
            <w:vAlign w:val="bottom"/>
            <w:hideMark/>
          </w:tcPr>
          <w:p w14:paraId="7F420868" w14:textId="6DAC54DD" w:rsidR="006A1E64" w:rsidRPr="00B47608" w:rsidRDefault="006A1E64"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0,7</w:t>
            </w:r>
          </w:p>
        </w:tc>
        <w:tc>
          <w:tcPr>
            <w:tcW w:w="879" w:type="pct"/>
            <w:shd w:val="clear" w:color="auto" w:fill="auto"/>
            <w:noWrap/>
            <w:vAlign w:val="bottom"/>
            <w:hideMark/>
          </w:tcPr>
          <w:p w14:paraId="234979F1" w14:textId="00043A22" w:rsidR="006A1E64" w:rsidRPr="00B47608" w:rsidRDefault="006A1E64"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w:t>
            </w:r>
          </w:p>
        </w:tc>
      </w:tr>
      <w:tr w:rsidR="006A1E64" w:rsidRPr="00B47608" w14:paraId="6FF09D53" w14:textId="77777777" w:rsidTr="00CA5AA6">
        <w:trPr>
          <w:trHeight w:val="288"/>
        </w:trPr>
        <w:tc>
          <w:tcPr>
            <w:tcW w:w="1485" w:type="pct"/>
            <w:shd w:val="clear" w:color="auto" w:fill="auto"/>
            <w:noWrap/>
            <w:vAlign w:val="bottom"/>
            <w:hideMark/>
          </w:tcPr>
          <w:p w14:paraId="74B80D81" w14:textId="77777777" w:rsidR="006A1E64" w:rsidRPr="00B47608" w:rsidRDefault="006A1E64" w:rsidP="00ED2A57">
            <w:pPr>
              <w:spacing w:after="0" w:line="240" w:lineRule="auto"/>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Dimensioni</w:t>
            </w:r>
          </w:p>
        </w:tc>
        <w:tc>
          <w:tcPr>
            <w:tcW w:w="879" w:type="pct"/>
            <w:shd w:val="clear" w:color="auto" w:fill="auto"/>
            <w:noWrap/>
            <w:vAlign w:val="bottom"/>
            <w:hideMark/>
          </w:tcPr>
          <w:p w14:paraId="53EB1076" w14:textId="77777777" w:rsidR="006A1E64" w:rsidRPr="00B47608" w:rsidRDefault="006A1E64" w:rsidP="00ED2A57">
            <w:pPr>
              <w:spacing w:after="0" w:line="240" w:lineRule="auto"/>
              <w:jc w:val="center"/>
              <w:rPr>
                <w:rFonts w:eastAsia="Times New Roman" w:cs="Calibri"/>
                <w:b/>
                <w:bCs/>
                <w:color w:val="000000"/>
                <w:kern w:val="0"/>
                <w:lang w:eastAsia="it-IT"/>
                <w14:ligatures w14:val="none"/>
              </w:rPr>
            </w:pPr>
          </w:p>
        </w:tc>
        <w:tc>
          <w:tcPr>
            <w:tcW w:w="879" w:type="pct"/>
            <w:shd w:val="clear" w:color="auto" w:fill="auto"/>
            <w:noWrap/>
            <w:vAlign w:val="bottom"/>
            <w:hideMark/>
          </w:tcPr>
          <w:p w14:paraId="7BE36FC8" w14:textId="77777777" w:rsidR="006A1E64" w:rsidRPr="00B47608" w:rsidRDefault="006A1E64" w:rsidP="00ED2A57">
            <w:pPr>
              <w:spacing w:after="0" w:line="240" w:lineRule="auto"/>
              <w:jc w:val="center"/>
              <w:rPr>
                <w:rFonts w:eastAsia="Times New Roman" w:cs="Times New Roman"/>
                <w:kern w:val="0"/>
                <w:sz w:val="20"/>
                <w:szCs w:val="20"/>
                <w:lang w:eastAsia="it-IT"/>
                <w14:ligatures w14:val="none"/>
              </w:rPr>
            </w:pPr>
          </w:p>
        </w:tc>
        <w:tc>
          <w:tcPr>
            <w:tcW w:w="879" w:type="pct"/>
            <w:shd w:val="clear" w:color="auto" w:fill="auto"/>
            <w:noWrap/>
            <w:vAlign w:val="bottom"/>
            <w:hideMark/>
          </w:tcPr>
          <w:p w14:paraId="5F444198" w14:textId="77777777" w:rsidR="006A1E64" w:rsidRPr="00B47608" w:rsidRDefault="006A1E64" w:rsidP="00ED2A57">
            <w:pPr>
              <w:spacing w:after="0" w:line="240" w:lineRule="auto"/>
              <w:jc w:val="center"/>
              <w:rPr>
                <w:rFonts w:eastAsia="Times New Roman" w:cs="Times New Roman"/>
                <w:kern w:val="0"/>
                <w:sz w:val="20"/>
                <w:szCs w:val="20"/>
                <w:lang w:eastAsia="it-IT"/>
                <w14:ligatures w14:val="none"/>
              </w:rPr>
            </w:pPr>
          </w:p>
        </w:tc>
        <w:tc>
          <w:tcPr>
            <w:tcW w:w="879" w:type="pct"/>
            <w:shd w:val="clear" w:color="auto" w:fill="auto"/>
            <w:noWrap/>
            <w:vAlign w:val="bottom"/>
            <w:hideMark/>
          </w:tcPr>
          <w:p w14:paraId="58953A76" w14:textId="77777777" w:rsidR="006A1E64" w:rsidRPr="00B47608" w:rsidRDefault="006A1E64" w:rsidP="00ED2A57">
            <w:pPr>
              <w:spacing w:after="0" w:line="240" w:lineRule="auto"/>
              <w:jc w:val="center"/>
              <w:rPr>
                <w:rFonts w:eastAsia="Times New Roman" w:cs="Times New Roman"/>
                <w:kern w:val="0"/>
                <w:sz w:val="20"/>
                <w:szCs w:val="20"/>
                <w:lang w:eastAsia="it-IT"/>
                <w14:ligatures w14:val="none"/>
              </w:rPr>
            </w:pPr>
          </w:p>
        </w:tc>
      </w:tr>
      <w:tr w:rsidR="006A1E64" w:rsidRPr="00B47608" w14:paraId="11D1A0E7" w14:textId="77777777" w:rsidTr="00CA5AA6">
        <w:trPr>
          <w:trHeight w:val="288"/>
        </w:trPr>
        <w:tc>
          <w:tcPr>
            <w:tcW w:w="1485" w:type="pct"/>
            <w:shd w:val="clear" w:color="auto" w:fill="auto"/>
            <w:noWrap/>
            <w:vAlign w:val="bottom"/>
            <w:hideMark/>
          </w:tcPr>
          <w:p w14:paraId="7CD07EE5" w14:textId="77777777" w:rsidR="006A1E64" w:rsidRPr="00B47608" w:rsidRDefault="006A1E64"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Meno di 50</w:t>
            </w:r>
          </w:p>
        </w:tc>
        <w:tc>
          <w:tcPr>
            <w:tcW w:w="879" w:type="pct"/>
            <w:shd w:val="clear" w:color="auto" w:fill="auto"/>
            <w:noWrap/>
            <w:vAlign w:val="bottom"/>
            <w:hideMark/>
          </w:tcPr>
          <w:p w14:paraId="65A1203C" w14:textId="56589F23" w:rsidR="006A1E64" w:rsidRPr="00B47608" w:rsidRDefault="006A1E64"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31,1</w:t>
            </w:r>
          </w:p>
        </w:tc>
        <w:tc>
          <w:tcPr>
            <w:tcW w:w="879" w:type="pct"/>
            <w:shd w:val="clear" w:color="auto" w:fill="auto"/>
            <w:noWrap/>
            <w:vAlign w:val="bottom"/>
            <w:hideMark/>
          </w:tcPr>
          <w:p w14:paraId="715E802D" w14:textId="20DDEF1D" w:rsidR="006A1E64" w:rsidRPr="00B47608" w:rsidRDefault="006A1E64"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67,7</w:t>
            </w:r>
          </w:p>
        </w:tc>
        <w:tc>
          <w:tcPr>
            <w:tcW w:w="879" w:type="pct"/>
            <w:shd w:val="clear" w:color="auto" w:fill="auto"/>
            <w:noWrap/>
            <w:vAlign w:val="bottom"/>
            <w:hideMark/>
          </w:tcPr>
          <w:p w14:paraId="51682B25" w14:textId="7D2AE680" w:rsidR="006A1E64" w:rsidRPr="00B47608" w:rsidRDefault="006A1E64"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1,2</w:t>
            </w:r>
          </w:p>
        </w:tc>
        <w:tc>
          <w:tcPr>
            <w:tcW w:w="879" w:type="pct"/>
            <w:shd w:val="clear" w:color="auto" w:fill="auto"/>
            <w:noWrap/>
            <w:vAlign w:val="bottom"/>
            <w:hideMark/>
          </w:tcPr>
          <w:p w14:paraId="244BFA64" w14:textId="7F27C5D2" w:rsidR="006A1E64" w:rsidRPr="00B47608" w:rsidRDefault="006A1E64"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w:t>
            </w:r>
          </w:p>
        </w:tc>
      </w:tr>
      <w:tr w:rsidR="006A1E64" w:rsidRPr="00B47608" w14:paraId="41699576" w14:textId="77777777" w:rsidTr="00CA5AA6">
        <w:trPr>
          <w:trHeight w:val="288"/>
        </w:trPr>
        <w:tc>
          <w:tcPr>
            <w:tcW w:w="1485" w:type="pct"/>
            <w:shd w:val="clear" w:color="auto" w:fill="auto"/>
            <w:noWrap/>
            <w:vAlign w:val="bottom"/>
            <w:hideMark/>
          </w:tcPr>
          <w:p w14:paraId="321677D7" w14:textId="77777777" w:rsidR="006A1E64" w:rsidRPr="00B47608" w:rsidRDefault="006A1E64"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50 e più</w:t>
            </w:r>
          </w:p>
        </w:tc>
        <w:tc>
          <w:tcPr>
            <w:tcW w:w="879" w:type="pct"/>
            <w:shd w:val="clear" w:color="auto" w:fill="auto"/>
            <w:noWrap/>
            <w:vAlign w:val="bottom"/>
            <w:hideMark/>
          </w:tcPr>
          <w:p w14:paraId="2300363E" w14:textId="48E13A72" w:rsidR="006A1E64" w:rsidRPr="00B47608" w:rsidRDefault="006A1E64"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31,7</w:t>
            </w:r>
          </w:p>
        </w:tc>
        <w:tc>
          <w:tcPr>
            <w:tcW w:w="879" w:type="pct"/>
            <w:shd w:val="clear" w:color="auto" w:fill="auto"/>
            <w:noWrap/>
            <w:vAlign w:val="bottom"/>
            <w:hideMark/>
          </w:tcPr>
          <w:p w14:paraId="5A2DB8C5" w14:textId="038C02C1" w:rsidR="006A1E64" w:rsidRPr="00B47608" w:rsidRDefault="006A1E64"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66,3</w:t>
            </w:r>
          </w:p>
        </w:tc>
        <w:tc>
          <w:tcPr>
            <w:tcW w:w="879" w:type="pct"/>
            <w:shd w:val="clear" w:color="auto" w:fill="auto"/>
            <w:noWrap/>
            <w:vAlign w:val="bottom"/>
            <w:hideMark/>
          </w:tcPr>
          <w:p w14:paraId="27164C03" w14:textId="2D5269B3" w:rsidR="006A1E64" w:rsidRPr="00B47608" w:rsidRDefault="006A1E64"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2,0</w:t>
            </w:r>
          </w:p>
        </w:tc>
        <w:tc>
          <w:tcPr>
            <w:tcW w:w="879" w:type="pct"/>
            <w:shd w:val="clear" w:color="auto" w:fill="auto"/>
            <w:noWrap/>
            <w:vAlign w:val="bottom"/>
            <w:hideMark/>
          </w:tcPr>
          <w:p w14:paraId="1D6EDEE4" w14:textId="40FBA185" w:rsidR="006A1E64" w:rsidRPr="00B47608" w:rsidRDefault="006A1E64"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w:t>
            </w:r>
          </w:p>
        </w:tc>
      </w:tr>
    </w:tbl>
    <w:p w14:paraId="0531E576" w14:textId="77777777" w:rsidR="003B5662" w:rsidRPr="00B47608" w:rsidRDefault="00CA5AA6" w:rsidP="003B5662">
      <w:pPr>
        <w:spacing w:after="0"/>
      </w:pPr>
      <w:r w:rsidRPr="00B47608">
        <w:t>Fonte: Fondazione Nord Est (463 casi)</w:t>
      </w:r>
    </w:p>
    <w:p w14:paraId="3BB6F69C" w14:textId="77777777" w:rsidR="003B5662" w:rsidRPr="00B47608" w:rsidRDefault="003B5662" w:rsidP="003B5662">
      <w:pPr>
        <w:spacing w:after="0"/>
      </w:pPr>
    </w:p>
    <w:p w14:paraId="637A7F91" w14:textId="663C8B40" w:rsidR="003B5662" w:rsidRPr="00B47608" w:rsidRDefault="003B5662" w:rsidP="003B5662">
      <w:pPr>
        <w:spacing w:after="0"/>
        <w:jc w:val="both"/>
      </w:pPr>
      <w:r w:rsidRPr="00B47608">
        <w:t>Il tema della revisione delle catene di fornitura viene approfondito nell’ambito dell’Osservatorio fin dal 2022. La rilevazione condotta in quell’anno faceva emergere che nei due anni precedenti più di un’impresa su tre (34,7%) aveva cambiato almeno un fornitore strategico. Nel 2023 la percentuale di imprese che avevano cambiato almeno un fornitore strategico si attestava al 28,2%, una quota ancora rilevante ma di sei punti percentuali inferiore rispetto a quella dell’anno precedente. Nel 2024 la quota di imprese che ha cambiato almeno un fornitore strategico nel biennio prevedente torna ad aumentare e si attesta al 31,3%.</w:t>
      </w:r>
    </w:p>
    <w:p w14:paraId="71A1AAA7" w14:textId="77777777" w:rsidR="00CA5AA6" w:rsidRPr="00B47608" w:rsidRDefault="00CA5AA6" w:rsidP="00ED2A57">
      <w:pPr>
        <w:spacing w:after="0"/>
      </w:pPr>
    </w:p>
    <w:p w14:paraId="2AEC9BD5" w14:textId="6C22D857" w:rsidR="00C57A68" w:rsidRDefault="00C57A68" w:rsidP="00787D51">
      <w:pPr>
        <w:spacing w:after="0"/>
        <w:jc w:val="both"/>
      </w:pPr>
      <w:r w:rsidRPr="00B47608">
        <w:t xml:space="preserve">Nel 2022 i nuovi fornitori strategici, si collocavano più vicini all’impresa italiana, nel 58,1% erano più vicini, in Italia, il 16,4% più vicini ma fuori dall’Italia. </w:t>
      </w:r>
      <w:r w:rsidR="00557255" w:rsidRPr="00B47608">
        <w:t xml:space="preserve">Il 2023 confermava </w:t>
      </w:r>
      <w:r w:rsidR="00A5371A" w:rsidRPr="00B47608">
        <w:t xml:space="preserve">la tendenza a rendere più prossime le reti di fornitura. Tra le aziende che </w:t>
      </w:r>
      <w:r w:rsidR="00557255" w:rsidRPr="00B47608">
        <w:t>avevano</w:t>
      </w:r>
      <w:r w:rsidR="00A5371A" w:rsidRPr="00B47608">
        <w:t xml:space="preserve"> dichiarato di aver cambiato almeno un fornitore strategico negli ultimi due anni, il 53,3% </w:t>
      </w:r>
      <w:r w:rsidR="00557255" w:rsidRPr="00B47608">
        <w:t>aveva</w:t>
      </w:r>
      <w:r w:rsidR="00A5371A" w:rsidRPr="00B47608">
        <w:t xml:space="preserve"> scelto di avvicinarlo in Italia</w:t>
      </w:r>
      <w:r w:rsidR="00981882" w:rsidRPr="00B47608">
        <w:t>. Il dato rilevato nel 2024 conferma tale proporzione: il 52,6% delle imprese ha rilocalizzato, in Italia i fornitori strategici</w:t>
      </w:r>
      <w:r w:rsidR="00537F14" w:rsidRPr="00B47608">
        <w:t xml:space="preserve">, il 5,1% li ha riavvicinati ma fuori dai confini nazionali, mentre il 13,6% li ha scelti più lontani ma comunque in Europa e </w:t>
      </w:r>
      <w:r w:rsidR="004B03CD" w:rsidRPr="00B47608">
        <w:t xml:space="preserve">il 25,2% più lontani e fuori dall’Europa. </w:t>
      </w:r>
      <w:r w:rsidR="00AC201D" w:rsidRPr="00B47608">
        <w:t xml:space="preserve">I dati </w:t>
      </w:r>
      <w:r w:rsidR="00AB1C01" w:rsidRPr="00B47608">
        <w:t>convalidano</w:t>
      </w:r>
      <w:r w:rsidR="00AC201D" w:rsidRPr="00B47608">
        <w:t xml:space="preserve"> l’andamento tracciato lo scorso anno quando il 15,7% delle imprese aveva optato per fornitori più lontani sul territorio europeo (11,7% nel 2022) e il 20,8% </w:t>
      </w:r>
      <w:r w:rsidR="00292667" w:rsidRPr="00B47608">
        <w:t>aveva</w:t>
      </w:r>
      <w:r w:rsidR="00AC201D" w:rsidRPr="00B47608">
        <w:t xml:space="preserve"> avviato collaborazioni con fornitori strategici più lontani e fuori dall’Europa</w:t>
      </w:r>
      <w:r w:rsidR="00292667" w:rsidRPr="00B47608">
        <w:t xml:space="preserve">. </w:t>
      </w:r>
    </w:p>
    <w:p w14:paraId="16CC772F" w14:textId="77777777" w:rsidR="002F0D90" w:rsidRDefault="002F0D90" w:rsidP="00787D51">
      <w:pPr>
        <w:spacing w:after="0"/>
        <w:jc w:val="both"/>
      </w:pPr>
    </w:p>
    <w:p w14:paraId="05648B30" w14:textId="77777777" w:rsidR="002F0D90" w:rsidRPr="00B47608" w:rsidRDefault="002F0D90" w:rsidP="00787D51">
      <w:pPr>
        <w:spacing w:after="0"/>
        <w:jc w:val="both"/>
      </w:pPr>
    </w:p>
    <w:p w14:paraId="23B21DB6" w14:textId="77777777" w:rsidR="00C57A68" w:rsidRPr="00B47608" w:rsidRDefault="00C57A68" w:rsidP="00ED2A57">
      <w:pPr>
        <w:spacing w:after="0"/>
      </w:pPr>
    </w:p>
    <w:p w14:paraId="5BBBD581" w14:textId="7A485B89" w:rsidR="00B23756" w:rsidRPr="00B47608" w:rsidRDefault="00787D51" w:rsidP="00ED2A57">
      <w:pPr>
        <w:spacing w:after="0"/>
        <w:rPr>
          <w:b/>
          <w:bCs/>
        </w:rPr>
      </w:pPr>
      <w:r w:rsidRPr="00B47608">
        <w:rPr>
          <w:b/>
          <w:bCs/>
        </w:rPr>
        <w:lastRenderedPageBreak/>
        <w:t xml:space="preserve">Tab. 4.2 </w:t>
      </w:r>
      <w:r w:rsidR="000D0B4C" w:rsidRPr="00B47608">
        <w:rPr>
          <w:b/>
          <w:bCs/>
        </w:rPr>
        <w:t xml:space="preserve">Rispetto ai precedenti, questi nuovi fornitori sono… </w:t>
      </w:r>
      <w:r w:rsidR="00D84A48" w:rsidRPr="00B47608">
        <w:rPr>
          <w:b/>
          <w:bCs/>
        </w:rPr>
        <w:t xml:space="preserve"> (Val.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24"/>
        <w:gridCol w:w="1219"/>
        <w:gridCol w:w="1209"/>
        <w:gridCol w:w="1219"/>
        <w:gridCol w:w="1219"/>
        <w:gridCol w:w="1209"/>
        <w:gridCol w:w="1229"/>
      </w:tblGrid>
      <w:tr w:rsidR="000D0B4C" w:rsidRPr="00B47608" w14:paraId="261AE2CF" w14:textId="77777777" w:rsidTr="000D0B4C">
        <w:trPr>
          <w:trHeight w:val="1728"/>
        </w:trPr>
        <w:tc>
          <w:tcPr>
            <w:tcW w:w="1207" w:type="pct"/>
            <w:shd w:val="clear" w:color="auto" w:fill="auto"/>
            <w:noWrap/>
            <w:vAlign w:val="bottom"/>
            <w:hideMark/>
          </w:tcPr>
          <w:p w14:paraId="390C28D4" w14:textId="77777777" w:rsidR="00B23756" w:rsidRPr="00B47608" w:rsidRDefault="00B23756" w:rsidP="00ED2A57">
            <w:pPr>
              <w:spacing w:after="0" w:line="240" w:lineRule="auto"/>
              <w:rPr>
                <w:rFonts w:eastAsia="Times New Roman" w:cs="Times New Roman"/>
                <w:kern w:val="0"/>
                <w:sz w:val="24"/>
                <w:szCs w:val="24"/>
                <w:lang w:eastAsia="it-IT"/>
                <w14:ligatures w14:val="none"/>
              </w:rPr>
            </w:pPr>
          </w:p>
        </w:tc>
        <w:tc>
          <w:tcPr>
            <w:tcW w:w="633" w:type="pct"/>
            <w:shd w:val="clear" w:color="auto" w:fill="auto"/>
            <w:textDirection w:val="btLr"/>
            <w:vAlign w:val="center"/>
            <w:hideMark/>
          </w:tcPr>
          <w:p w14:paraId="228716E6" w14:textId="77777777" w:rsidR="00B23756" w:rsidRPr="00661284" w:rsidRDefault="00B23756" w:rsidP="00ED2A57">
            <w:pPr>
              <w:spacing w:after="0" w:line="240" w:lineRule="auto"/>
              <w:jc w:val="center"/>
              <w:rPr>
                <w:rFonts w:eastAsia="Times New Roman" w:cs="Arial"/>
                <w:b/>
                <w:bCs/>
                <w:color w:val="000000"/>
                <w:kern w:val="0"/>
                <w:sz w:val="18"/>
                <w:szCs w:val="18"/>
                <w:lang w:eastAsia="it-IT"/>
                <w14:ligatures w14:val="none"/>
              </w:rPr>
            </w:pPr>
            <w:r w:rsidRPr="00661284">
              <w:rPr>
                <w:rFonts w:eastAsia="Times New Roman" w:cs="Arial"/>
                <w:b/>
                <w:bCs/>
                <w:color w:val="000000"/>
                <w:kern w:val="0"/>
                <w:sz w:val="18"/>
                <w:szCs w:val="18"/>
                <w:lang w:eastAsia="it-IT"/>
                <w14:ligatures w14:val="none"/>
              </w:rPr>
              <w:t>Più vicini, in Italia</w:t>
            </w:r>
          </w:p>
        </w:tc>
        <w:tc>
          <w:tcPr>
            <w:tcW w:w="628" w:type="pct"/>
            <w:shd w:val="clear" w:color="auto" w:fill="auto"/>
            <w:textDirection w:val="btLr"/>
            <w:vAlign w:val="center"/>
            <w:hideMark/>
          </w:tcPr>
          <w:p w14:paraId="33862CC7" w14:textId="77777777" w:rsidR="00B23756" w:rsidRPr="00661284" w:rsidRDefault="00B23756" w:rsidP="00ED2A57">
            <w:pPr>
              <w:spacing w:after="0" w:line="240" w:lineRule="auto"/>
              <w:jc w:val="center"/>
              <w:rPr>
                <w:rFonts w:eastAsia="Times New Roman" w:cs="Arial"/>
                <w:b/>
                <w:bCs/>
                <w:color w:val="000000"/>
                <w:kern w:val="0"/>
                <w:sz w:val="18"/>
                <w:szCs w:val="18"/>
                <w:lang w:eastAsia="it-IT"/>
                <w14:ligatures w14:val="none"/>
              </w:rPr>
            </w:pPr>
            <w:r w:rsidRPr="00661284">
              <w:rPr>
                <w:rFonts w:eastAsia="Times New Roman" w:cs="Arial"/>
                <w:b/>
                <w:bCs/>
                <w:color w:val="000000"/>
                <w:kern w:val="0"/>
                <w:sz w:val="18"/>
                <w:szCs w:val="18"/>
                <w:lang w:eastAsia="it-IT"/>
                <w14:ligatures w14:val="none"/>
              </w:rPr>
              <w:t>Più vicini, fuori dall'Italia</w:t>
            </w:r>
          </w:p>
        </w:tc>
        <w:tc>
          <w:tcPr>
            <w:tcW w:w="633" w:type="pct"/>
            <w:shd w:val="clear" w:color="auto" w:fill="auto"/>
            <w:textDirection w:val="btLr"/>
            <w:vAlign w:val="center"/>
            <w:hideMark/>
          </w:tcPr>
          <w:p w14:paraId="3D70A31D" w14:textId="77777777" w:rsidR="00B23756" w:rsidRPr="00661284" w:rsidRDefault="00B23756" w:rsidP="00ED2A57">
            <w:pPr>
              <w:spacing w:after="0" w:line="240" w:lineRule="auto"/>
              <w:jc w:val="center"/>
              <w:rPr>
                <w:rFonts w:eastAsia="Times New Roman" w:cs="Arial"/>
                <w:b/>
                <w:bCs/>
                <w:color w:val="000000"/>
                <w:kern w:val="0"/>
                <w:sz w:val="18"/>
                <w:szCs w:val="18"/>
                <w:lang w:eastAsia="it-IT"/>
                <w14:ligatures w14:val="none"/>
              </w:rPr>
            </w:pPr>
            <w:r w:rsidRPr="00661284">
              <w:rPr>
                <w:rFonts w:eastAsia="Times New Roman" w:cs="Arial"/>
                <w:b/>
                <w:bCs/>
                <w:color w:val="000000"/>
                <w:kern w:val="0"/>
                <w:sz w:val="18"/>
                <w:szCs w:val="18"/>
                <w:lang w:eastAsia="it-IT"/>
                <w14:ligatures w14:val="none"/>
              </w:rPr>
              <w:t>Più lontani, in Europa</w:t>
            </w:r>
          </w:p>
        </w:tc>
        <w:tc>
          <w:tcPr>
            <w:tcW w:w="633" w:type="pct"/>
            <w:shd w:val="clear" w:color="auto" w:fill="auto"/>
            <w:textDirection w:val="btLr"/>
            <w:vAlign w:val="center"/>
            <w:hideMark/>
          </w:tcPr>
          <w:p w14:paraId="252E5AB1" w14:textId="77777777" w:rsidR="00B23756" w:rsidRPr="00661284" w:rsidRDefault="00B23756" w:rsidP="00ED2A57">
            <w:pPr>
              <w:spacing w:after="0" w:line="240" w:lineRule="auto"/>
              <w:jc w:val="center"/>
              <w:rPr>
                <w:rFonts w:eastAsia="Times New Roman" w:cs="Arial"/>
                <w:b/>
                <w:bCs/>
                <w:color w:val="000000"/>
                <w:kern w:val="0"/>
                <w:sz w:val="18"/>
                <w:szCs w:val="18"/>
                <w:lang w:eastAsia="it-IT"/>
                <w14:ligatures w14:val="none"/>
              </w:rPr>
            </w:pPr>
            <w:r w:rsidRPr="00661284">
              <w:rPr>
                <w:rFonts w:eastAsia="Times New Roman" w:cs="Arial"/>
                <w:b/>
                <w:bCs/>
                <w:color w:val="000000"/>
                <w:kern w:val="0"/>
                <w:sz w:val="18"/>
                <w:szCs w:val="18"/>
                <w:lang w:eastAsia="it-IT"/>
                <w14:ligatures w14:val="none"/>
              </w:rPr>
              <w:t>Più lontani, fuori dall'Europa</w:t>
            </w:r>
          </w:p>
        </w:tc>
        <w:tc>
          <w:tcPr>
            <w:tcW w:w="628" w:type="pct"/>
            <w:shd w:val="clear" w:color="auto" w:fill="auto"/>
            <w:textDirection w:val="btLr"/>
            <w:vAlign w:val="center"/>
            <w:hideMark/>
          </w:tcPr>
          <w:p w14:paraId="7E59F2E4" w14:textId="77777777" w:rsidR="00B23756" w:rsidRPr="00661284" w:rsidRDefault="00B23756" w:rsidP="00ED2A57">
            <w:pPr>
              <w:spacing w:after="0" w:line="240" w:lineRule="auto"/>
              <w:jc w:val="center"/>
              <w:rPr>
                <w:rFonts w:eastAsia="Times New Roman" w:cs="Arial"/>
                <w:b/>
                <w:bCs/>
                <w:color w:val="000000"/>
                <w:kern w:val="0"/>
                <w:sz w:val="18"/>
                <w:szCs w:val="18"/>
                <w:lang w:eastAsia="it-IT"/>
                <w14:ligatures w14:val="none"/>
              </w:rPr>
            </w:pPr>
            <w:proofErr w:type="spellStart"/>
            <w:r w:rsidRPr="00661284">
              <w:rPr>
                <w:rFonts w:eastAsia="Times New Roman" w:cs="Arial"/>
                <w:b/>
                <w:bCs/>
                <w:color w:val="000000"/>
                <w:kern w:val="0"/>
                <w:sz w:val="18"/>
                <w:szCs w:val="18"/>
                <w:lang w:eastAsia="it-IT"/>
                <w14:ligatures w14:val="none"/>
              </w:rPr>
              <w:t>n.r</w:t>
            </w:r>
            <w:proofErr w:type="spellEnd"/>
            <w:r w:rsidRPr="00661284">
              <w:rPr>
                <w:rFonts w:eastAsia="Times New Roman" w:cs="Arial"/>
                <w:b/>
                <w:bCs/>
                <w:color w:val="000000"/>
                <w:kern w:val="0"/>
                <w:sz w:val="18"/>
                <w:szCs w:val="18"/>
                <w:lang w:eastAsia="it-IT"/>
                <w14:ligatures w14:val="none"/>
              </w:rPr>
              <w:t>.</w:t>
            </w:r>
          </w:p>
        </w:tc>
        <w:tc>
          <w:tcPr>
            <w:tcW w:w="638" w:type="pct"/>
            <w:shd w:val="clear" w:color="auto" w:fill="auto"/>
            <w:textDirection w:val="btLr"/>
            <w:vAlign w:val="center"/>
            <w:hideMark/>
          </w:tcPr>
          <w:p w14:paraId="5BC816AD" w14:textId="77777777" w:rsidR="00B23756" w:rsidRPr="00661284" w:rsidRDefault="00B23756" w:rsidP="00ED2A57">
            <w:pPr>
              <w:spacing w:after="0" w:line="240" w:lineRule="auto"/>
              <w:jc w:val="center"/>
              <w:rPr>
                <w:rFonts w:eastAsia="Times New Roman" w:cs="Arial"/>
                <w:b/>
                <w:bCs/>
                <w:color w:val="000000"/>
                <w:kern w:val="0"/>
                <w:sz w:val="18"/>
                <w:szCs w:val="18"/>
                <w:lang w:eastAsia="it-IT"/>
                <w14:ligatures w14:val="none"/>
              </w:rPr>
            </w:pPr>
            <w:r w:rsidRPr="00661284">
              <w:rPr>
                <w:rFonts w:eastAsia="Times New Roman" w:cs="Arial"/>
                <w:b/>
                <w:bCs/>
                <w:color w:val="000000"/>
                <w:kern w:val="0"/>
                <w:sz w:val="18"/>
                <w:szCs w:val="18"/>
                <w:lang w:eastAsia="it-IT"/>
                <w14:ligatures w14:val="none"/>
              </w:rPr>
              <w:t xml:space="preserve">Totale </w:t>
            </w:r>
          </w:p>
        </w:tc>
      </w:tr>
      <w:tr w:rsidR="000D0B4C" w:rsidRPr="00B47608" w14:paraId="364C14BF" w14:textId="77777777" w:rsidTr="000D0B4C">
        <w:trPr>
          <w:trHeight w:val="288"/>
        </w:trPr>
        <w:tc>
          <w:tcPr>
            <w:tcW w:w="1207" w:type="pct"/>
            <w:shd w:val="clear" w:color="auto" w:fill="auto"/>
            <w:noWrap/>
            <w:vAlign w:val="bottom"/>
            <w:hideMark/>
          </w:tcPr>
          <w:p w14:paraId="707BF19E" w14:textId="20204AA8" w:rsidR="00B23756" w:rsidRPr="00B47608" w:rsidRDefault="00B23756" w:rsidP="00ED2A57">
            <w:pPr>
              <w:spacing w:after="0" w:line="240" w:lineRule="auto"/>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 xml:space="preserve">Totale </w:t>
            </w:r>
          </w:p>
        </w:tc>
        <w:tc>
          <w:tcPr>
            <w:tcW w:w="633" w:type="pct"/>
            <w:shd w:val="clear" w:color="auto" w:fill="auto"/>
            <w:noWrap/>
            <w:vAlign w:val="bottom"/>
            <w:hideMark/>
          </w:tcPr>
          <w:p w14:paraId="5DF1331B" w14:textId="77777777" w:rsidR="00B23756" w:rsidRPr="00B47608" w:rsidRDefault="00B23756"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52,6%</w:t>
            </w:r>
          </w:p>
        </w:tc>
        <w:tc>
          <w:tcPr>
            <w:tcW w:w="628" w:type="pct"/>
            <w:shd w:val="clear" w:color="auto" w:fill="auto"/>
            <w:noWrap/>
            <w:vAlign w:val="bottom"/>
            <w:hideMark/>
          </w:tcPr>
          <w:p w14:paraId="094284A1" w14:textId="77777777" w:rsidR="00B23756" w:rsidRPr="00B47608" w:rsidRDefault="00B23756"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5,1%</w:t>
            </w:r>
          </w:p>
        </w:tc>
        <w:tc>
          <w:tcPr>
            <w:tcW w:w="633" w:type="pct"/>
            <w:shd w:val="clear" w:color="auto" w:fill="auto"/>
            <w:noWrap/>
            <w:vAlign w:val="bottom"/>
            <w:hideMark/>
          </w:tcPr>
          <w:p w14:paraId="57E6C497" w14:textId="77777777" w:rsidR="00B23756" w:rsidRPr="00B47608" w:rsidRDefault="00B23756"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13,6%</w:t>
            </w:r>
          </w:p>
        </w:tc>
        <w:tc>
          <w:tcPr>
            <w:tcW w:w="633" w:type="pct"/>
            <w:shd w:val="clear" w:color="auto" w:fill="auto"/>
            <w:noWrap/>
            <w:vAlign w:val="bottom"/>
            <w:hideMark/>
          </w:tcPr>
          <w:p w14:paraId="4B10C639" w14:textId="77777777" w:rsidR="00B23756" w:rsidRPr="00B47608" w:rsidRDefault="00B23756"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25,2%</w:t>
            </w:r>
          </w:p>
        </w:tc>
        <w:tc>
          <w:tcPr>
            <w:tcW w:w="628" w:type="pct"/>
            <w:shd w:val="clear" w:color="auto" w:fill="auto"/>
            <w:noWrap/>
            <w:vAlign w:val="bottom"/>
            <w:hideMark/>
          </w:tcPr>
          <w:p w14:paraId="5D914BBA" w14:textId="77777777" w:rsidR="00B23756" w:rsidRPr="00B47608" w:rsidRDefault="00B23756"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3,5%</w:t>
            </w:r>
          </w:p>
        </w:tc>
        <w:tc>
          <w:tcPr>
            <w:tcW w:w="638" w:type="pct"/>
            <w:shd w:val="clear" w:color="auto" w:fill="auto"/>
            <w:noWrap/>
            <w:vAlign w:val="bottom"/>
            <w:hideMark/>
          </w:tcPr>
          <w:p w14:paraId="2A13024D" w14:textId="77777777" w:rsidR="00B23756" w:rsidRPr="00B47608" w:rsidRDefault="00B23756"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100,0%</w:t>
            </w:r>
          </w:p>
        </w:tc>
      </w:tr>
      <w:tr w:rsidR="000D0B4C" w:rsidRPr="00B47608" w14:paraId="567866B3" w14:textId="77777777" w:rsidTr="000D0B4C">
        <w:trPr>
          <w:trHeight w:val="288"/>
        </w:trPr>
        <w:tc>
          <w:tcPr>
            <w:tcW w:w="1207" w:type="pct"/>
            <w:shd w:val="clear" w:color="auto" w:fill="auto"/>
            <w:noWrap/>
            <w:vAlign w:val="bottom"/>
            <w:hideMark/>
          </w:tcPr>
          <w:p w14:paraId="1FC4B5E3" w14:textId="77777777" w:rsidR="00B23756" w:rsidRPr="00B47608" w:rsidRDefault="00B23756" w:rsidP="00ED2A57">
            <w:pPr>
              <w:spacing w:after="0" w:line="240" w:lineRule="auto"/>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Macrosettore</w:t>
            </w:r>
          </w:p>
        </w:tc>
        <w:tc>
          <w:tcPr>
            <w:tcW w:w="633" w:type="pct"/>
            <w:shd w:val="clear" w:color="auto" w:fill="auto"/>
            <w:noWrap/>
            <w:vAlign w:val="bottom"/>
            <w:hideMark/>
          </w:tcPr>
          <w:p w14:paraId="5882786A" w14:textId="77777777" w:rsidR="00B23756" w:rsidRPr="00B47608" w:rsidRDefault="00B23756" w:rsidP="00ED2A57">
            <w:pPr>
              <w:spacing w:after="0" w:line="240" w:lineRule="auto"/>
              <w:jc w:val="center"/>
              <w:rPr>
                <w:rFonts w:eastAsia="Times New Roman" w:cs="Calibri"/>
                <w:b/>
                <w:bCs/>
                <w:color w:val="000000"/>
                <w:kern w:val="0"/>
                <w:lang w:eastAsia="it-IT"/>
                <w14:ligatures w14:val="none"/>
              </w:rPr>
            </w:pPr>
          </w:p>
        </w:tc>
        <w:tc>
          <w:tcPr>
            <w:tcW w:w="628" w:type="pct"/>
            <w:shd w:val="clear" w:color="auto" w:fill="auto"/>
            <w:noWrap/>
            <w:vAlign w:val="bottom"/>
            <w:hideMark/>
          </w:tcPr>
          <w:p w14:paraId="20526821" w14:textId="77777777" w:rsidR="00B23756" w:rsidRPr="00B47608" w:rsidRDefault="00B23756" w:rsidP="00ED2A57">
            <w:pPr>
              <w:spacing w:after="0" w:line="240" w:lineRule="auto"/>
              <w:jc w:val="center"/>
              <w:rPr>
                <w:rFonts w:eastAsia="Times New Roman" w:cs="Times New Roman"/>
                <w:kern w:val="0"/>
                <w:sz w:val="20"/>
                <w:szCs w:val="20"/>
                <w:lang w:eastAsia="it-IT"/>
                <w14:ligatures w14:val="none"/>
              </w:rPr>
            </w:pPr>
          </w:p>
        </w:tc>
        <w:tc>
          <w:tcPr>
            <w:tcW w:w="633" w:type="pct"/>
            <w:shd w:val="clear" w:color="auto" w:fill="auto"/>
            <w:noWrap/>
            <w:vAlign w:val="bottom"/>
            <w:hideMark/>
          </w:tcPr>
          <w:p w14:paraId="147189DD" w14:textId="77777777" w:rsidR="00B23756" w:rsidRPr="00B47608" w:rsidRDefault="00B23756" w:rsidP="00ED2A57">
            <w:pPr>
              <w:spacing w:after="0" w:line="240" w:lineRule="auto"/>
              <w:jc w:val="center"/>
              <w:rPr>
                <w:rFonts w:eastAsia="Times New Roman" w:cs="Times New Roman"/>
                <w:kern w:val="0"/>
                <w:sz w:val="20"/>
                <w:szCs w:val="20"/>
                <w:lang w:eastAsia="it-IT"/>
                <w14:ligatures w14:val="none"/>
              </w:rPr>
            </w:pPr>
          </w:p>
        </w:tc>
        <w:tc>
          <w:tcPr>
            <w:tcW w:w="633" w:type="pct"/>
            <w:shd w:val="clear" w:color="auto" w:fill="auto"/>
            <w:noWrap/>
            <w:vAlign w:val="bottom"/>
            <w:hideMark/>
          </w:tcPr>
          <w:p w14:paraId="62C2AEE3" w14:textId="77777777" w:rsidR="00B23756" w:rsidRPr="00B47608" w:rsidRDefault="00B23756" w:rsidP="00ED2A57">
            <w:pPr>
              <w:spacing w:after="0" w:line="240" w:lineRule="auto"/>
              <w:jc w:val="center"/>
              <w:rPr>
                <w:rFonts w:eastAsia="Times New Roman" w:cs="Times New Roman"/>
                <w:kern w:val="0"/>
                <w:sz w:val="20"/>
                <w:szCs w:val="20"/>
                <w:lang w:eastAsia="it-IT"/>
                <w14:ligatures w14:val="none"/>
              </w:rPr>
            </w:pPr>
          </w:p>
        </w:tc>
        <w:tc>
          <w:tcPr>
            <w:tcW w:w="628" w:type="pct"/>
            <w:shd w:val="clear" w:color="auto" w:fill="auto"/>
            <w:noWrap/>
            <w:vAlign w:val="bottom"/>
            <w:hideMark/>
          </w:tcPr>
          <w:p w14:paraId="61BC1EDE" w14:textId="77777777" w:rsidR="00B23756" w:rsidRPr="00B47608" w:rsidRDefault="00B23756" w:rsidP="00ED2A57">
            <w:pPr>
              <w:spacing w:after="0" w:line="240" w:lineRule="auto"/>
              <w:jc w:val="center"/>
              <w:rPr>
                <w:rFonts w:eastAsia="Times New Roman" w:cs="Times New Roman"/>
                <w:kern w:val="0"/>
                <w:sz w:val="20"/>
                <w:szCs w:val="20"/>
                <w:lang w:eastAsia="it-IT"/>
                <w14:ligatures w14:val="none"/>
              </w:rPr>
            </w:pPr>
          </w:p>
        </w:tc>
        <w:tc>
          <w:tcPr>
            <w:tcW w:w="638" w:type="pct"/>
            <w:shd w:val="clear" w:color="auto" w:fill="auto"/>
            <w:noWrap/>
            <w:vAlign w:val="bottom"/>
            <w:hideMark/>
          </w:tcPr>
          <w:p w14:paraId="08F913C7" w14:textId="77777777" w:rsidR="00B23756" w:rsidRPr="00B47608" w:rsidRDefault="00B23756" w:rsidP="00ED2A57">
            <w:pPr>
              <w:spacing w:after="0" w:line="240" w:lineRule="auto"/>
              <w:jc w:val="center"/>
              <w:rPr>
                <w:rFonts w:eastAsia="Times New Roman" w:cs="Times New Roman"/>
                <w:kern w:val="0"/>
                <w:sz w:val="20"/>
                <w:szCs w:val="20"/>
                <w:lang w:eastAsia="it-IT"/>
                <w14:ligatures w14:val="none"/>
              </w:rPr>
            </w:pPr>
          </w:p>
        </w:tc>
      </w:tr>
      <w:tr w:rsidR="000D0B4C" w:rsidRPr="00B47608" w14:paraId="683E4F1A" w14:textId="77777777" w:rsidTr="000D0B4C">
        <w:trPr>
          <w:trHeight w:val="288"/>
        </w:trPr>
        <w:tc>
          <w:tcPr>
            <w:tcW w:w="1207" w:type="pct"/>
            <w:shd w:val="clear" w:color="auto" w:fill="auto"/>
            <w:noWrap/>
            <w:vAlign w:val="bottom"/>
            <w:hideMark/>
          </w:tcPr>
          <w:p w14:paraId="6408BDB6" w14:textId="77777777" w:rsidR="00B23756" w:rsidRPr="00B47608" w:rsidRDefault="00B23756"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Altri settori</w:t>
            </w:r>
          </w:p>
        </w:tc>
        <w:tc>
          <w:tcPr>
            <w:tcW w:w="633" w:type="pct"/>
            <w:shd w:val="clear" w:color="auto" w:fill="auto"/>
            <w:noWrap/>
            <w:vAlign w:val="bottom"/>
            <w:hideMark/>
          </w:tcPr>
          <w:p w14:paraId="3E62E368" w14:textId="77777777" w:rsidR="00B23756" w:rsidRPr="00B47608" w:rsidRDefault="00B23756"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54,3%</w:t>
            </w:r>
          </w:p>
        </w:tc>
        <w:tc>
          <w:tcPr>
            <w:tcW w:w="628" w:type="pct"/>
            <w:shd w:val="clear" w:color="auto" w:fill="auto"/>
            <w:noWrap/>
            <w:vAlign w:val="bottom"/>
            <w:hideMark/>
          </w:tcPr>
          <w:p w14:paraId="72BAE305" w14:textId="77777777" w:rsidR="00B23756" w:rsidRPr="00B47608" w:rsidRDefault="00B23756"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7,0%</w:t>
            </w:r>
          </w:p>
        </w:tc>
        <w:tc>
          <w:tcPr>
            <w:tcW w:w="633" w:type="pct"/>
            <w:shd w:val="clear" w:color="auto" w:fill="auto"/>
            <w:noWrap/>
            <w:vAlign w:val="bottom"/>
            <w:hideMark/>
          </w:tcPr>
          <w:p w14:paraId="06A439A5" w14:textId="77777777" w:rsidR="00B23756" w:rsidRPr="00B47608" w:rsidRDefault="00B23756"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15,4%</w:t>
            </w:r>
          </w:p>
        </w:tc>
        <w:tc>
          <w:tcPr>
            <w:tcW w:w="633" w:type="pct"/>
            <w:shd w:val="clear" w:color="auto" w:fill="auto"/>
            <w:noWrap/>
            <w:vAlign w:val="bottom"/>
            <w:hideMark/>
          </w:tcPr>
          <w:p w14:paraId="6544281C" w14:textId="77777777" w:rsidR="00B23756" w:rsidRPr="00B47608" w:rsidRDefault="00B23756"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22,0%</w:t>
            </w:r>
          </w:p>
        </w:tc>
        <w:tc>
          <w:tcPr>
            <w:tcW w:w="628" w:type="pct"/>
            <w:shd w:val="clear" w:color="auto" w:fill="auto"/>
            <w:noWrap/>
            <w:vAlign w:val="bottom"/>
            <w:hideMark/>
          </w:tcPr>
          <w:p w14:paraId="02C3AAB8" w14:textId="77777777" w:rsidR="00B23756" w:rsidRPr="00B47608" w:rsidRDefault="00B23756"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1,3%</w:t>
            </w:r>
          </w:p>
        </w:tc>
        <w:tc>
          <w:tcPr>
            <w:tcW w:w="638" w:type="pct"/>
            <w:shd w:val="clear" w:color="auto" w:fill="auto"/>
            <w:noWrap/>
            <w:vAlign w:val="bottom"/>
            <w:hideMark/>
          </w:tcPr>
          <w:p w14:paraId="27790194" w14:textId="77777777" w:rsidR="00B23756" w:rsidRPr="00B47608" w:rsidRDefault="00B23756"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100,0%</w:t>
            </w:r>
          </w:p>
        </w:tc>
      </w:tr>
      <w:tr w:rsidR="000D0B4C" w:rsidRPr="00B47608" w14:paraId="14B49153" w14:textId="77777777" w:rsidTr="000D0B4C">
        <w:trPr>
          <w:trHeight w:val="288"/>
        </w:trPr>
        <w:tc>
          <w:tcPr>
            <w:tcW w:w="1207" w:type="pct"/>
            <w:shd w:val="clear" w:color="auto" w:fill="auto"/>
            <w:noWrap/>
            <w:vAlign w:val="bottom"/>
            <w:hideMark/>
          </w:tcPr>
          <w:p w14:paraId="396D7C1A" w14:textId="77777777" w:rsidR="00B23756" w:rsidRPr="00B47608" w:rsidRDefault="00B23756"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Metalmeccanica</w:t>
            </w:r>
          </w:p>
        </w:tc>
        <w:tc>
          <w:tcPr>
            <w:tcW w:w="633" w:type="pct"/>
            <w:shd w:val="clear" w:color="auto" w:fill="auto"/>
            <w:noWrap/>
            <w:vAlign w:val="bottom"/>
            <w:hideMark/>
          </w:tcPr>
          <w:p w14:paraId="383EBB40" w14:textId="77777777" w:rsidR="00B23756" w:rsidRPr="00B47608" w:rsidRDefault="00B23756"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50,6%</w:t>
            </w:r>
          </w:p>
        </w:tc>
        <w:tc>
          <w:tcPr>
            <w:tcW w:w="628" w:type="pct"/>
            <w:shd w:val="clear" w:color="auto" w:fill="auto"/>
            <w:noWrap/>
            <w:vAlign w:val="bottom"/>
            <w:hideMark/>
          </w:tcPr>
          <w:p w14:paraId="59A25CDE" w14:textId="77777777" w:rsidR="00B23756" w:rsidRPr="00B47608" w:rsidRDefault="00B23756"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3,0%</w:t>
            </w:r>
          </w:p>
        </w:tc>
        <w:tc>
          <w:tcPr>
            <w:tcW w:w="633" w:type="pct"/>
            <w:shd w:val="clear" w:color="auto" w:fill="auto"/>
            <w:noWrap/>
            <w:vAlign w:val="bottom"/>
            <w:hideMark/>
          </w:tcPr>
          <w:p w14:paraId="44D18997" w14:textId="77777777" w:rsidR="00B23756" w:rsidRPr="00B47608" w:rsidRDefault="00B23756"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11,5%</w:t>
            </w:r>
          </w:p>
        </w:tc>
        <w:tc>
          <w:tcPr>
            <w:tcW w:w="633" w:type="pct"/>
            <w:shd w:val="clear" w:color="auto" w:fill="auto"/>
            <w:noWrap/>
            <w:vAlign w:val="bottom"/>
            <w:hideMark/>
          </w:tcPr>
          <w:p w14:paraId="359830A3" w14:textId="77777777" w:rsidR="00B23756" w:rsidRPr="00B47608" w:rsidRDefault="00B23756"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28,8%</w:t>
            </w:r>
          </w:p>
        </w:tc>
        <w:tc>
          <w:tcPr>
            <w:tcW w:w="628" w:type="pct"/>
            <w:shd w:val="clear" w:color="auto" w:fill="auto"/>
            <w:noWrap/>
            <w:vAlign w:val="bottom"/>
            <w:hideMark/>
          </w:tcPr>
          <w:p w14:paraId="2A8E9B55" w14:textId="77777777" w:rsidR="00B23756" w:rsidRPr="00B47608" w:rsidRDefault="00B23756"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6,0%</w:t>
            </w:r>
          </w:p>
        </w:tc>
        <w:tc>
          <w:tcPr>
            <w:tcW w:w="638" w:type="pct"/>
            <w:shd w:val="clear" w:color="auto" w:fill="auto"/>
            <w:noWrap/>
            <w:vAlign w:val="bottom"/>
            <w:hideMark/>
          </w:tcPr>
          <w:p w14:paraId="3BE9D59C" w14:textId="77777777" w:rsidR="00B23756" w:rsidRPr="00B47608" w:rsidRDefault="00B23756"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100,0%</w:t>
            </w:r>
          </w:p>
        </w:tc>
      </w:tr>
      <w:tr w:rsidR="000D0B4C" w:rsidRPr="00B47608" w14:paraId="220F1F95" w14:textId="77777777" w:rsidTr="000D0B4C">
        <w:trPr>
          <w:trHeight w:val="288"/>
        </w:trPr>
        <w:tc>
          <w:tcPr>
            <w:tcW w:w="1207" w:type="pct"/>
            <w:shd w:val="clear" w:color="auto" w:fill="auto"/>
            <w:noWrap/>
            <w:vAlign w:val="bottom"/>
            <w:hideMark/>
          </w:tcPr>
          <w:p w14:paraId="6E37D3D9" w14:textId="77777777" w:rsidR="00B23756" w:rsidRPr="00B47608" w:rsidRDefault="00B23756" w:rsidP="00ED2A57">
            <w:pPr>
              <w:spacing w:after="0" w:line="240" w:lineRule="auto"/>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Dimensioni</w:t>
            </w:r>
          </w:p>
        </w:tc>
        <w:tc>
          <w:tcPr>
            <w:tcW w:w="633" w:type="pct"/>
            <w:shd w:val="clear" w:color="auto" w:fill="auto"/>
            <w:noWrap/>
            <w:vAlign w:val="bottom"/>
            <w:hideMark/>
          </w:tcPr>
          <w:p w14:paraId="6EC71C99" w14:textId="77777777" w:rsidR="00B23756" w:rsidRPr="00B47608" w:rsidRDefault="00B23756" w:rsidP="00ED2A57">
            <w:pPr>
              <w:spacing w:after="0" w:line="240" w:lineRule="auto"/>
              <w:jc w:val="center"/>
              <w:rPr>
                <w:rFonts w:eastAsia="Times New Roman" w:cs="Calibri"/>
                <w:b/>
                <w:bCs/>
                <w:color w:val="000000"/>
                <w:kern w:val="0"/>
                <w:lang w:eastAsia="it-IT"/>
                <w14:ligatures w14:val="none"/>
              </w:rPr>
            </w:pPr>
          </w:p>
        </w:tc>
        <w:tc>
          <w:tcPr>
            <w:tcW w:w="628" w:type="pct"/>
            <w:shd w:val="clear" w:color="auto" w:fill="auto"/>
            <w:noWrap/>
            <w:vAlign w:val="bottom"/>
            <w:hideMark/>
          </w:tcPr>
          <w:p w14:paraId="67A101A8" w14:textId="77777777" w:rsidR="00B23756" w:rsidRPr="00B47608" w:rsidRDefault="00B23756" w:rsidP="00ED2A57">
            <w:pPr>
              <w:spacing w:after="0" w:line="240" w:lineRule="auto"/>
              <w:jc w:val="center"/>
              <w:rPr>
                <w:rFonts w:eastAsia="Times New Roman" w:cs="Times New Roman"/>
                <w:kern w:val="0"/>
                <w:sz w:val="20"/>
                <w:szCs w:val="20"/>
                <w:lang w:eastAsia="it-IT"/>
                <w14:ligatures w14:val="none"/>
              </w:rPr>
            </w:pPr>
          </w:p>
        </w:tc>
        <w:tc>
          <w:tcPr>
            <w:tcW w:w="633" w:type="pct"/>
            <w:shd w:val="clear" w:color="auto" w:fill="auto"/>
            <w:noWrap/>
            <w:vAlign w:val="bottom"/>
            <w:hideMark/>
          </w:tcPr>
          <w:p w14:paraId="26C96F69" w14:textId="77777777" w:rsidR="00B23756" w:rsidRPr="00B47608" w:rsidRDefault="00B23756" w:rsidP="00ED2A57">
            <w:pPr>
              <w:spacing w:after="0" w:line="240" w:lineRule="auto"/>
              <w:jc w:val="center"/>
              <w:rPr>
                <w:rFonts w:eastAsia="Times New Roman" w:cs="Times New Roman"/>
                <w:kern w:val="0"/>
                <w:sz w:val="20"/>
                <w:szCs w:val="20"/>
                <w:lang w:eastAsia="it-IT"/>
                <w14:ligatures w14:val="none"/>
              </w:rPr>
            </w:pPr>
          </w:p>
        </w:tc>
        <w:tc>
          <w:tcPr>
            <w:tcW w:w="633" w:type="pct"/>
            <w:shd w:val="clear" w:color="auto" w:fill="auto"/>
            <w:noWrap/>
            <w:vAlign w:val="bottom"/>
            <w:hideMark/>
          </w:tcPr>
          <w:p w14:paraId="18C3DFC5" w14:textId="77777777" w:rsidR="00B23756" w:rsidRPr="00B47608" w:rsidRDefault="00B23756" w:rsidP="00ED2A57">
            <w:pPr>
              <w:spacing w:after="0" w:line="240" w:lineRule="auto"/>
              <w:jc w:val="center"/>
              <w:rPr>
                <w:rFonts w:eastAsia="Times New Roman" w:cs="Times New Roman"/>
                <w:kern w:val="0"/>
                <w:sz w:val="20"/>
                <w:szCs w:val="20"/>
                <w:lang w:eastAsia="it-IT"/>
                <w14:ligatures w14:val="none"/>
              </w:rPr>
            </w:pPr>
          </w:p>
        </w:tc>
        <w:tc>
          <w:tcPr>
            <w:tcW w:w="628" w:type="pct"/>
            <w:shd w:val="clear" w:color="auto" w:fill="auto"/>
            <w:noWrap/>
            <w:vAlign w:val="bottom"/>
            <w:hideMark/>
          </w:tcPr>
          <w:p w14:paraId="2D6C4D21" w14:textId="77777777" w:rsidR="00B23756" w:rsidRPr="00B47608" w:rsidRDefault="00B23756" w:rsidP="00ED2A57">
            <w:pPr>
              <w:spacing w:after="0" w:line="240" w:lineRule="auto"/>
              <w:jc w:val="center"/>
              <w:rPr>
                <w:rFonts w:eastAsia="Times New Roman" w:cs="Times New Roman"/>
                <w:kern w:val="0"/>
                <w:sz w:val="20"/>
                <w:szCs w:val="20"/>
                <w:lang w:eastAsia="it-IT"/>
                <w14:ligatures w14:val="none"/>
              </w:rPr>
            </w:pPr>
          </w:p>
        </w:tc>
        <w:tc>
          <w:tcPr>
            <w:tcW w:w="638" w:type="pct"/>
            <w:shd w:val="clear" w:color="auto" w:fill="auto"/>
            <w:noWrap/>
            <w:vAlign w:val="bottom"/>
            <w:hideMark/>
          </w:tcPr>
          <w:p w14:paraId="2ED7A62F" w14:textId="77777777" w:rsidR="00B23756" w:rsidRPr="00B47608" w:rsidRDefault="00B23756" w:rsidP="00ED2A57">
            <w:pPr>
              <w:spacing w:after="0" w:line="240" w:lineRule="auto"/>
              <w:jc w:val="center"/>
              <w:rPr>
                <w:rFonts w:eastAsia="Times New Roman" w:cs="Times New Roman"/>
                <w:kern w:val="0"/>
                <w:sz w:val="20"/>
                <w:szCs w:val="20"/>
                <w:lang w:eastAsia="it-IT"/>
                <w14:ligatures w14:val="none"/>
              </w:rPr>
            </w:pPr>
          </w:p>
        </w:tc>
      </w:tr>
      <w:tr w:rsidR="000D0B4C" w:rsidRPr="00B47608" w14:paraId="2B95F1F4" w14:textId="77777777" w:rsidTr="000D0B4C">
        <w:trPr>
          <w:trHeight w:val="288"/>
        </w:trPr>
        <w:tc>
          <w:tcPr>
            <w:tcW w:w="1207" w:type="pct"/>
            <w:shd w:val="clear" w:color="auto" w:fill="auto"/>
            <w:noWrap/>
            <w:vAlign w:val="bottom"/>
            <w:hideMark/>
          </w:tcPr>
          <w:p w14:paraId="393B6E0C" w14:textId="77777777" w:rsidR="00B23756" w:rsidRPr="00B47608" w:rsidRDefault="00B23756"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Meno di 50</w:t>
            </w:r>
          </w:p>
        </w:tc>
        <w:tc>
          <w:tcPr>
            <w:tcW w:w="633" w:type="pct"/>
            <w:shd w:val="clear" w:color="auto" w:fill="auto"/>
            <w:noWrap/>
            <w:vAlign w:val="bottom"/>
            <w:hideMark/>
          </w:tcPr>
          <w:p w14:paraId="37F990CF" w14:textId="77777777" w:rsidR="00B23756" w:rsidRPr="00B47608" w:rsidRDefault="00B23756"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56,0%</w:t>
            </w:r>
          </w:p>
        </w:tc>
        <w:tc>
          <w:tcPr>
            <w:tcW w:w="628" w:type="pct"/>
            <w:shd w:val="clear" w:color="auto" w:fill="auto"/>
            <w:noWrap/>
            <w:vAlign w:val="bottom"/>
            <w:hideMark/>
          </w:tcPr>
          <w:p w14:paraId="7C3535DA" w14:textId="77777777" w:rsidR="00B23756" w:rsidRPr="00B47608" w:rsidRDefault="00B23756"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2,7%</w:t>
            </w:r>
          </w:p>
        </w:tc>
        <w:tc>
          <w:tcPr>
            <w:tcW w:w="633" w:type="pct"/>
            <w:shd w:val="clear" w:color="auto" w:fill="auto"/>
            <w:noWrap/>
            <w:vAlign w:val="bottom"/>
            <w:hideMark/>
          </w:tcPr>
          <w:p w14:paraId="205FF88A" w14:textId="77777777" w:rsidR="00B23756" w:rsidRPr="00B47608" w:rsidRDefault="00B23756"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15,8%</w:t>
            </w:r>
          </w:p>
        </w:tc>
        <w:tc>
          <w:tcPr>
            <w:tcW w:w="633" w:type="pct"/>
            <w:shd w:val="clear" w:color="auto" w:fill="auto"/>
            <w:noWrap/>
            <w:vAlign w:val="bottom"/>
            <w:hideMark/>
          </w:tcPr>
          <w:p w14:paraId="1CCE81DA" w14:textId="77777777" w:rsidR="00B23756" w:rsidRPr="00B47608" w:rsidRDefault="00B23756"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23,1%</w:t>
            </w:r>
          </w:p>
        </w:tc>
        <w:tc>
          <w:tcPr>
            <w:tcW w:w="628" w:type="pct"/>
            <w:shd w:val="clear" w:color="auto" w:fill="auto"/>
            <w:noWrap/>
            <w:vAlign w:val="bottom"/>
            <w:hideMark/>
          </w:tcPr>
          <w:p w14:paraId="3958591E" w14:textId="77777777" w:rsidR="00B23756" w:rsidRPr="00B47608" w:rsidRDefault="00B23756"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2,4%</w:t>
            </w:r>
          </w:p>
        </w:tc>
        <w:tc>
          <w:tcPr>
            <w:tcW w:w="638" w:type="pct"/>
            <w:shd w:val="clear" w:color="auto" w:fill="auto"/>
            <w:noWrap/>
            <w:vAlign w:val="bottom"/>
            <w:hideMark/>
          </w:tcPr>
          <w:p w14:paraId="0D5FB456" w14:textId="77777777" w:rsidR="00B23756" w:rsidRPr="00B47608" w:rsidRDefault="00B23756"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100,0%</w:t>
            </w:r>
          </w:p>
        </w:tc>
      </w:tr>
      <w:tr w:rsidR="000D0B4C" w:rsidRPr="00B47608" w14:paraId="20B215B1" w14:textId="77777777" w:rsidTr="000D0B4C">
        <w:trPr>
          <w:trHeight w:val="288"/>
        </w:trPr>
        <w:tc>
          <w:tcPr>
            <w:tcW w:w="1207" w:type="pct"/>
            <w:shd w:val="clear" w:color="auto" w:fill="auto"/>
            <w:noWrap/>
            <w:vAlign w:val="bottom"/>
            <w:hideMark/>
          </w:tcPr>
          <w:p w14:paraId="326FE5A6" w14:textId="77777777" w:rsidR="00B23756" w:rsidRPr="00B47608" w:rsidRDefault="00B23756"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50 e più</w:t>
            </w:r>
          </w:p>
        </w:tc>
        <w:tc>
          <w:tcPr>
            <w:tcW w:w="633" w:type="pct"/>
            <w:shd w:val="clear" w:color="auto" w:fill="auto"/>
            <w:noWrap/>
            <w:vAlign w:val="bottom"/>
            <w:hideMark/>
          </w:tcPr>
          <w:p w14:paraId="09C9DA23" w14:textId="77777777" w:rsidR="00B23756" w:rsidRPr="00B47608" w:rsidRDefault="00B23756"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46,6%</w:t>
            </w:r>
          </w:p>
        </w:tc>
        <w:tc>
          <w:tcPr>
            <w:tcW w:w="628" w:type="pct"/>
            <w:shd w:val="clear" w:color="auto" w:fill="auto"/>
            <w:noWrap/>
            <w:vAlign w:val="bottom"/>
            <w:hideMark/>
          </w:tcPr>
          <w:p w14:paraId="1FC23979" w14:textId="77777777" w:rsidR="00B23756" w:rsidRPr="00B47608" w:rsidRDefault="00B23756"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9,4%</w:t>
            </w:r>
          </w:p>
        </w:tc>
        <w:tc>
          <w:tcPr>
            <w:tcW w:w="633" w:type="pct"/>
            <w:shd w:val="clear" w:color="auto" w:fill="auto"/>
            <w:noWrap/>
            <w:vAlign w:val="bottom"/>
            <w:hideMark/>
          </w:tcPr>
          <w:p w14:paraId="792398BE" w14:textId="77777777" w:rsidR="00B23756" w:rsidRPr="00B47608" w:rsidRDefault="00B23756"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9,8%</w:t>
            </w:r>
          </w:p>
        </w:tc>
        <w:tc>
          <w:tcPr>
            <w:tcW w:w="633" w:type="pct"/>
            <w:shd w:val="clear" w:color="auto" w:fill="auto"/>
            <w:noWrap/>
            <w:vAlign w:val="bottom"/>
            <w:hideMark/>
          </w:tcPr>
          <w:p w14:paraId="65A79D4B" w14:textId="77777777" w:rsidR="00B23756" w:rsidRPr="00B47608" w:rsidRDefault="00B23756"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28,8%</w:t>
            </w:r>
          </w:p>
        </w:tc>
        <w:tc>
          <w:tcPr>
            <w:tcW w:w="628" w:type="pct"/>
            <w:shd w:val="clear" w:color="auto" w:fill="auto"/>
            <w:noWrap/>
            <w:vAlign w:val="bottom"/>
            <w:hideMark/>
          </w:tcPr>
          <w:p w14:paraId="6A4A3237" w14:textId="77777777" w:rsidR="00B23756" w:rsidRPr="00B47608" w:rsidRDefault="00B23756"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5,4%</w:t>
            </w:r>
          </w:p>
        </w:tc>
        <w:tc>
          <w:tcPr>
            <w:tcW w:w="638" w:type="pct"/>
            <w:shd w:val="clear" w:color="auto" w:fill="auto"/>
            <w:noWrap/>
            <w:vAlign w:val="bottom"/>
            <w:hideMark/>
          </w:tcPr>
          <w:p w14:paraId="3B755E5E" w14:textId="77777777" w:rsidR="00B23756" w:rsidRPr="00B47608" w:rsidRDefault="00B23756"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100,0%</w:t>
            </w:r>
          </w:p>
        </w:tc>
      </w:tr>
    </w:tbl>
    <w:p w14:paraId="3746A8C5" w14:textId="131BE949" w:rsidR="000D0B4C" w:rsidRPr="00B47608" w:rsidRDefault="000D0B4C" w:rsidP="00ED2A57">
      <w:pPr>
        <w:spacing w:after="0"/>
      </w:pPr>
      <w:r w:rsidRPr="00B47608">
        <w:t>Fonte: Fondazione Nord Est (</w:t>
      </w:r>
      <w:r w:rsidR="00DC6A7D" w:rsidRPr="00B47608">
        <w:t>145</w:t>
      </w:r>
      <w:r w:rsidRPr="00B47608">
        <w:t xml:space="preserve"> casi)</w:t>
      </w:r>
    </w:p>
    <w:p w14:paraId="0CA355F0" w14:textId="77777777" w:rsidR="009C0ACA" w:rsidRPr="00B47608" w:rsidRDefault="009C0ACA" w:rsidP="00ED2A57">
      <w:pPr>
        <w:spacing w:after="0"/>
      </w:pPr>
    </w:p>
    <w:p w14:paraId="311F5AA7" w14:textId="77777777" w:rsidR="009C0ACA" w:rsidRPr="00B47608" w:rsidRDefault="009C0ACA" w:rsidP="00ED2A57">
      <w:pPr>
        <w:spacing w:after="0"/>
        <w:rPr>
          <w:rFonts w:eastAsiaTheme="majorEastAsia" w:cstheme="majorBidi"/>
          <w:color w:val="0F4761" w:themeColor="accent1" w:themeShade="BF"/>
          <w:sz w:val="32"/>
          <w:szCs w:val="32"/>
        </w:rPr>
      </w:pPr>
      <w:r w:rsidRPr="00B47608">
        <w:br w:type="page"/>
      </w:r>
    </w:p>
    <w:p w14:paraId="5B745922" w14:textId="1BA7E232" w:rsidR="009C0ACA" w:rsidRPr="00B47608" w:rsidRDefault="008878A1" w:rsidP="00ED2A57">
      <w:pPr>
        <w:pStyle w:val="Titolo2"/>
        <w:spacing w:after="0"/>
        <w:rPr>
          <w:rFonts w:asciiTheme="minorHAnsi" w:hAnsiTheme="minorHAnsi"/>
        </w:rPr>
      </w:pPr>
      <w:bookmarkStart w:id="17" w:name="_Toc193106861"/>
      <w:r w:rsidRPr="00B47608">
        <w:rPr>
          <w:rFonts w:asciiTheme="minorHAnsi" w:hAnsiTheme="minorHAnsi"/>
        </w:rPr>
        <w:lastRenderedPageBreak/>
        <w:t xml:space="preserve">5. </w:t>
      </w:r>
      <w:r w:rsidR="00EA199C" w:rsidRPr="00B47608">
        <w:rPr>
          <w:rFonts w:asciiTheme="minorHAnsi" w:hAnsiTheme="minorHAnsi"/>
        </w:rPr>
        <w:t>Digitalizzazione, sostenibilità ambientale e internazionalizzazione</w:t>
      </w:r>
      <w:bookmarkEnd w:id="17"/>
    </w:p>
    <w:p w14:paraId="75226A95" w14:textId="77777777" w:rsidR="00880BCE" w:rsidRPr="00166EB2" w:rsidRDefault="00880BCE" w:rsidP="00ED2A57">
      <w:pPr>
        <w:spacing w:after="0"/>
        <w:rPr>
          <w:sz w:val="18"/>
          <w:szCs w:val="18"/>
        </w:rPr>
      </w:pPr>
    </w:p>
    <w:p w14:paraId="3338AF61" w14:textId="12A3FD44" w:rsidR="00A319BD" w:rsidRPr="00B47608" w:rsidRDefault="00880BCE" w:rsidP="00ED2A57">
      <w:pPr>
        <w:spacing w:after="0"/>
        <w:jc w:val="both"/>
      </w:pPr>
      <w:r w:rsidRPr="00B47608">
        <w:t xml:space="preserve">Le imprese oltre che con la turbolenta situazione che stanno attraversando gli scambi internazionali si trovano a fare i conti anche con le transizioni gemelle: digitalizzazione e sostenibilità. Che relazione esiste tra le transizioni gemelle e l’internazionalizzazione delle imprese? </w:t>
      </w:r>
      <w:r w:rsidR="00221DA7" w:rsidRPr="00B47608">
        <w:t>In questo capitolo</w:t>
      </w:r>
      <w:r w:rsidRPr="00B47608">
        <w:t xml:space="preserve"> vengono ripresi alcuni dei temi approfonditi nel Rapporto 2022 per rilevare l’avanzamento dei processi di cambiamento che stanno investendo il settore produttivo. </w:t>
      </w:r>
      <w:r w:rsidR="00425DF7" w:rsidRPr="00B47608">
        <w:t xml:space="preserve">Un aggiornamento </w:t>
      </w:r>
      <w:r w:rsidR="00E1646E" w:rsidRPr="00B47608">
        <w:t xml:space="preserve">che è richiesto anche dall’impatto che l’Intelligenza artificiale sta producendo anche sul fronte degli scambi internazionali a cui è dedicato </w:t>
      </w:r>
      <w:r w:rsidR="009413B3" w:rsidRPr="00B47608">
        <w:t xml:space="preserve">un approfondimento in coda al capitolo. </w:t>
      </w:r>
    </w:p>
    <w:p w14:paraId="1B989FC1" w14:textId="77777777" w:rsidR="00C00940" w:rsidRPr="00166EB2" w:rsidRDefault="00C00940" w:rsidP="00ED2A57">
      <w:pPr>
        <w:spacing w:after="0"/>
        <w:rPr>
          <w:sz w:val="18"/>
          <w:szCs w:val="18"/>
        </w:rPr>
      </w:pPr>
    </w:p>
    <w:p w14:paraId="3FC8E060" w14:textId="77777777" w:rsidR="00166EB2" w:rsidRDefault="00F106E5" w:rsidP="00B12578">
      <w:pPr>
        <w:spacing w:after="0"/>
        <w:jc w:val="both"/>
      </w:pPr>
      <w:r w:rsidRPr="00B47608">
        <w:t>Quasi metà</w:t>
      </w:r>
      <w:r w:rsidR="005033C7" w:rsidRPr="00B47608">
        <w:t xml:space="preserve"> delle imprese (48</w:t>
      </w:r>
      <w:r w:rsidR="00850C01" w:rsidRPr="00B47608">
        <w:t>,</w:t>
      </w:r>
      <w:r w:rsidR="005033C7" w:rsidRPr="00B47608">
        <w:t>6%</w:t>
      </w:r>
      <w:r w:rsidR="00DF39CF" w:rsidRPr="00B47608">
        <w:t xml:space="preserve">) sostiene che in futuro cercherà di aumentare e/o migliorare la </w:t>
      </w:r>
      <w:r w:rsidR="005366DE" w:rsidRPr="00B47608">
        <w:t>propria</w:t>
      </w:r>
      <w:r w:rsidR="00DF39CF" w:rsidRPr="00B47608">
        <w:t xml:space="preserve"> presenza online </w:t>
      </w:r>
      <w:r w:rsidR="002617D0" w:rsidRPr="00B47608">
        <w:t xml:space="preserve">in modo da </w:t>
      </w:r>
      <w:r w:rsidR="00850C01" w:rsidRPr="00B47608">
        <w:t>incrementare</w:t>
      </w:r>
      <w:r w:rsidR="002617D0" w:rsidRPr="00B47608">
        <w:t xml:space="preserve"> la propria proiezione internazionale. </w:t>
      </w:r>
      <w:r w:rsidR="00D228EB" w:rsidRPr="00B47608">
        <w:t>I</w:t>
      </w:r>
      <w:r w:rsidR="004E0A7B" w:rsidRPr="00B47608">
        <w:t xml:space="preserve">l </w:t>
      </w:r>
      <w:r w:rsidR="008B4070" w:rsidRPr="00B47608">
        <w:t>32,5%</w:t>
      </w:r>
      <w:r w:rsidR="00D228EB" w:rsidRPr="00B47608">
        <w:t xml:space="preserve"> delle imprese</w:t>
      </w:r>
      <w:r w:rsidR="008C3193" w:rsidRPr="00B47608">
        <w:t xml:space="preserve"> </w:t>
      </w:r>
      <w:r w:rsidR="00BD26C4" w:rsidRPr="00B47608">
        <w:t>dichiara che effettuer</w:t>
      </w:r>
      <w:r w:rsidR="00D228EB" w:rsidRPr="00B47608">
        <w:t>à</w:t>
      </w:r>
      <w:r w:rsidR="00BD26C4" w:rsidRPr="00B47608">
        <w:t xml:space="preserve"> investimenti nel marketing digitale</w:t>
      </w:r>
      <w:r w:rsidR="008C3193" w:rsidRPr="00B47608">
        <w:t>, mentre il 30,5% adotter</w:t>
      </w:r>
      <w:r w:rsidR="002726F7" w:rsidRPr="00B47608">
        <w:t>à</w:t>
      </w:r>
      <w:r w:rsidR="00D279F0" w:rsidRPr="00B47608">
        <w:t xml:space="preserve"> software necessari alla mappatura e gestione dei rischi. </w:t>
      </w:r>
      <w:r w:rsidR="00097F60" w:rsidRPr="00B47608">
        <w:t xml:space="preserve">È interessante notare che comunque il 27,1% delle imprese ha già migliorato o aumentato la propria presenza online per </w:t>
      </w:r>
      <w:r w:rsidR="00A74336" w:rsidRPr="00B47608">
        <w:t xml:space="preserve">aumentare la </w:t>
      </w:r>
      <w:r w:rsidR="00097F60" w:rsidRPr="00B47608">
        <w:t xml:space="preserve">proiezione internazionale. </w:t>
      </w:r>
      <w:r w:rsidR="008F2A0F" w:rsidRPr="00B47608">
        <w:t xml:space="preserve">L’introduzione di un </w:t>
      </w:r>
      <w:proofErr w:type="spellStart"/>
      <w:r w:rsidR="008F2A0F" w:rsidRPr="00B47608">
        <w:t>digital</w:t>
      </w:r>
      <w:proofErr w:type="spellEnd"/>
      <w:r w:rsidR="008F2A0F" w:rsidRPr="00B47608">
        <w:t xml:space="preserve"> export manager, l’adozione di </w:t>
      </w:r>
      <w:r w:rsidR="002726F7" w:rsidRPr="00B47608">
        <w:t>sistemi</w:t>
      </w:r>
      <w:r w:rsidR="008F2A0F" w:rsidRPr="00B47608">
        <w:t xml:space="preserve"> </w:t>
      </w:r>
      <w:r w:rsidR="00641599" w:rsidRPr="00B47608">
        <w:t xml:space="preserve">di </w:t>
      </w:r>
      <w:r w:rsidR="008F2A0F" w:rsidRPr="00B47608">
        <w:t xml:space="preserve">e-commerce su piattaforma di terzi </w:t>
      </w:r>
      <w:r w:rsidR="00641599" w:rsidRPr="00B47608">
        <w:t>o</w:t>
      </w:r>
      <w:r w:rsidR="008F2A0F" w:rsidRPr="00B47608">
        <w:t xml:space="preserve"> propria risultano essere</w:t>
      </w:r>
      <w:r w:rsidR="00350F44" w:rsidRPr="00B47608">
        <w:t>, tra quelle menzionate,</w:t>
      </w:r>
      <w:r w:rsidR="008F2A0F" w:rsidRPr="00B47608">
        <w:t xml:space="preserve"> le strategie</w:t>
      </w:r>
      <w:r w:rsidR="00C95C5F" w:rsidRPr="00B47608">
        <w:t xml:space="preserve"> che </w:t>
      </w:r>
      <w:r w:rsidR="00F768D2" w:rsidRPr="00B47608">
        <w:t>le imprese</w:t>
      </w:r>
      <w:r w:rsidR="00C95C5F" w:rsidRPr="00B47608">
        <w:t xml:space="preserve"> </w:t>
      </w:r>
      <w:r w:rsidR="00AC6BD9" w:rsidRPr="00B47608">
        <w:t>ritengono meno probabili</w:t>
      </w:r>
      <w:r w:rsidR="00C95C5F" w:rsidRPr="00B47608">
        <w:t xml:space="preserve"> d</w:t>
      </w:r>
      <w:r w:rsidR="00AC6BD9" w:rsidRPr="00B47608">
        <w:t xml:space="preserve">a </w:t>
      </w:r>
      <w:r w:rsidR="00C95C5F" w:rsidRPr="00B47608">
        <w:t>adottare</w:t>
      </w:r>
      <w:r w:rsidR="009A7F8F" w:rsidRPr="00B47608">
        <w:t xml:space="preserve"> </w:t>
      </w:r>
      <w:r w:rsidR="00350F44" w:rsidRPr="00B47608">
        <w:t>in futuro</w:t>
      </w:r>
      <w:r w:rsidR="00AC6BD9" w:rsidRPr="00B47608">
        <w:t xml:space="preserve"> </w:t>
      </w:r>
      <w:r w:rsidR="00C95C5F" w:rsidRPr="00B47608">
        <w:t xml:space="preserve">per </w:t>
      </w:r>
      <w:r w:rsidR="00F768D2" w:rsidRPr="00B47608">
        <w:t xml:space="preserve">incrementare la </w:t>
      </w:r>
      <w:r w:rsidR="00350F44" w:rsidRPr="00B47608">
        <w:t>loro proiezione</w:t>
      </w:r>
      <w:r w:rsidR="00F768D2" w:rsidRPr="00B47608">
        <w:t xml:space="preserve"> internazionale.</w:t>
      </w:r>
    </w:p>
    <w:p w14:paraId="4422D865" w14:textId="77777777" w:rsidR="00166EB2" w:rsidRPr="00166EB2" w:rsidRDefault="00166EB2" w:rsidP="00B12578">
      <w:pPr>
        <w:spacing w:after="0"/>
        <w:jc w:val="both"/>
        <w:rPr>
          <w:sz w:val="18"/>
          <w:szCs w:val="18"/>
        </w:rPr>
      </w:pPr>
    </w:p>
    <w:p w14:paraId="01D65ECA" w14:textId="77777777" w:rsidR="00166EB2" w:rsidRDefault="00D53D0F" w:rsidP="00166EB2">
      <w:pPr>
        <w:spacing w:after="0"/>
        <w:rPr>
          <w:b/>
          <w:bCs/>
        </w:rPr>
      </w:pPr>
      <w:r w:rsidRPr="00B47608">
        <w:rPr>
          <w:b/>
          <w:bCs/>
        </w:rPr>
        <w:t xml:space="preserve">Graf. </w:t>
      </w:r>
      <w:r w:rsidR="00027B68" w:rsidRPr="00B47608">
        <w:rPr>
          <w:b/>
          <w:bCs/>
        </w:rPr>
        <w:t xml:space="preserve">5.1 </w:t>
      </w:r>
      <w:r w:rsidR="00C00940" w:rsidRPr="00B47608">
        <w:rPr>
          <w:b/>
          <w:bCs/>
        </w:rPr>
        <w:t>In futuro, quali tra le seguenti strategie o strumenti digitali adotterà la sua azienda per aumentare la proiezione internazionale della sua impresa?</w:t>
      </w:r>
      <w:r w:rsidR="00D84A48" w:rsidRPr="00B47608">
        <w:rPr>
          <w:b/>
          <w:bCs/>
        </w:rPr>
        <w:t xml:space="preserve"> (Val. %)</w:t>
      </w:r>
    </w:p>
    <w:p w14:paraId="4F44991D" w14:textId="12E1F73B" w:rsidR="00230D19" w:rsidRDefault="00B12578" w:rsidP="00166EB2">
      <w:pPr>
        <w:spacing w:after="0"/>
        <w:ind w:left="-993"/>
      </w:pPr>
      <w:r w:rsidRPr="00B47608">
        <w:rPr>
          <w:noProof/>
        </w:rPr>
        <w:drawing>
          <wp:inline distT="0" distB="0" distL="0" distR="0" wp14:anchorId="39AE1393" wp14:editId="4CD12CEB">
            <wp:extent cx="7124700" cy="4762500"/>
            <wp:effectExtent l="0" t="0" r="0" b="0"/>
            <wp:docPr id="1456685031" name="Grafico 1">
              <a:extLst xmlns:a="http://schemas.openxmlformats.org/drawingml/2006/main">
                <a:ext uri="{FF2B5EF4-FFF2-40B4-BE49-F238E27FC236}">
                  <a16:creationId xmlns:a16="http://schemas.microsoft.com/office/drawing/2014/main" id="{A1CF3226-A4BE-4773-AF96-F370B1267A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9830CD" w:rsidRPr="00B47608">
        <w:t xml:space="preserve"> </w:t>
      </w:r>
    </w:p>
    <w:p w14:paraId="13650362" w14:textId="02EF1831" w:rsidR="00166EB2" w:rsidRDefault="00230D19" w:rsidP="00166EB2">
      <w:pPr>
        <w:spacing w:after="0"/>
      </w:pPr>
      <w:r w:rsidRPr="00166EB2">
        <w:rPr>
          <w:sz w:val="20"/>
          <w:szCs w:val="20"/>
        </w:rPr>
        <w:t>Fonte: Fondazione Nord Est (463 casi)</w:t>
      </w:r>
      <w:r w:rsidR="00166EB2">
        <w:br w:type="page"/>
      </w:r>
    </w:p>
    <w:p w14:paraId="05C888DD" w14:textId="77777777" w:rsidR="00230D19" w:rsidRDefault="00230D19" w:rsidP="00ED2A57">
      <w:pPr>
        <w:spacing w:after="0"/>
      </w:pPr>
    </w:p>
    <w:p w14:paraId="78331020" w14:textId="77777777" w:rsidR="00E6165F" w:rsidRPr="00B47608" w:rsidRDefault="00E6165F" w:rsidP="00ED2A57">
      <w:pPr>
        <w:spacing w:after="0"/>
      </w:pPr>
    </w:p>
    <w:p w14:paraId="50194353" w14:textId="55343B35" w:rsidR="00230D19" w:rsidRPr="00B47608" w:rsidRDefault="00380B9D" w:rsidP="00380B9D">
      <w:pPr>
        <w:spacing w:after="0"/>
        <w:jc w:val="both"/>
      </w:pPr>
      <w:r w:rsidRPr="00B47608">
        <w:t>In sintesi, le imprese sembrano orientate a consolidare la propria presenza online come base per l'internazionalizzazione, privilegiando investimenti in marketing digitale e gestione dei rischi, mentre l'adozione di figure specializzate e piattaforme e-commerce appare, al momento, meno centrale nelle loro strategie.</w:t>
      </w:r>
    </w:p>
    <w:p w14:paraId="6A02F7ED" w14:textId="77777777" w:rsidR="00380B9D" w:rsidRPr="00B47608" w:rsidRDefault="00380B9D" w:rsidP="00ED2A57">
      <w:pPr>
        <w:spacing w:after="0"/>
      </w:pPr>
    </w:p>
    <w:p w14:paraId="4F8B2CCC" w14:textId="68E241F6" w:rsidR="005B4320" w:rsidRPr="00B47608" w:rsidRDefault="00B9463A" w:rsidP="00ED2A57">
      <w:pPr>
        <w:spacing w:after="0"/>
        <w:jc w:val="both"/>
      </w:pPr>
      <w:r w:rsidRPr="00B47608">
        <w:t>L’</w:t>
      </w:r>
      <w:r w:rsidR="009A31DF" w:rsidRPr="00B47608">
        <w:t>IA</w:t>
      </w:r>
      <w:r w:rsidRPr="00B47608">
        <w:t xml:space="preserve"> per identificare nuove </w:t>
      </w:r>
      <w:r w:rsidR="000244B9" w:rsidRPr="00B47608">
        <w:t xml:space="preserve">opportunità, prevedere la domanda o analizzare i concorrenti risulta essere lo strumento che, secondo le </w:t>
      </w:r>
      <w:r w:rsidR="00B82C68" w:rsidRPr="00B47608">
        <w:t>aziende</w:t>
      </w:r>
      <w:r w:rsidR="000244B9" w:rsidRPr="00B47608">
        <w:t xml:space="preserve"> intervistate, </w:t>
      </w:r>
      <w:r w:rsidR="00B82C68" w:rsidRPr="00B47608">
        <w:t>impatterà maggiormente sull’internazionalizzazione della propria impresa.</w:t>
      </w:r>
      <w:r w:rsidR="00921248" w:rsidRPr="00B47608">
        <w:t xml:space="preserve"> Sono comunque ritenuti rilevanti</w:t>
      </w:r>
      <w:r w:rsidR="009D6D23" w:rsidRPr="00B47608">
        <w:t xml:space="preserve"> per l’internazionalizzazione</w:t>
      </w:r>
      <w:r w:rsidR="00921248" w:rsidRPr="00B47608">
        <w:t xml:space="preserve"> anche gli impatti generati dall’intelligenza artificiale per monitorare le reti di fornitura</w:t>
      </w:r>
      <w:r w:rsidR="00477102" w:rsidRPr="00B47608">
        <w:t>, l’</w:t>
      </w:r>
      <w:r w:rsidR="009A31DF" w:rsidRPr="00B47608">
        <w:t>IA</w:t>
      </w:r>
      <w:r w:rsidR="00477102" w:rsidRPr="00B47608">
        <w:t xml:space="preserve"> generativa/il digitale per l’assistenza clienti, l’e-commerce e </w:t>
      </w:r>
      <w:r w:rsidR="00EE0AB4" w:rsidRPr="00B47608">
        <w:t xml:space="preserve">i </w:t>
      </w:r>
      <w:r w:rsidR="0096645D" w:rsidRPr="00B47608">
        <w:t>Large Language Models per il marketing. La realtà virtuale, a giudizio delle imprese studiate, sembra essere lo strumento meno impattante</w:t>
      </w:r>
      <w:r w:rsidR="00D26955" w:rsidRPr="00B47608">
        <w:t>, tra quelli considerati,</w:t>
      </w:r>
      <w:r w:rsidR="0096645D" w:rsidRPr="00B47608">
        <w:t xml:space="preserve"> </w:t>
      </w:r>
      <w:r w:rsidR="00D26955" w:rsidRPr="00B47608">
        <w:t>sul</w:t>
      </w:r>
      <w:r w:rsidR="0096645D" w:rsidRPr="00B47608">
        <w:t>l’internaziona</w:t>
      </w:r>
      <w:r w:rsidR="00D26955" w:rsidRPr="00B47608">
        <w:t>lizzazione</w:t>
      </w:r>
      <w:r w:rsidR="00D45ABC" w:rsidRPr="00B47608">
        <w:t xml:space="preserve"> della propria impresa.</w:t>
      </w:r>
      <w:r w:rsidR="00927179" w:rsidRPr="00B47608">
        <w:t xml:space="preserve"> Questo potrebbe essere </w:t>
      </w:r>
      <w:proofErr w:type="spellStart"/>
      <w:r w:rsidR="00927179" w:rsidRPr="00B47608">
        <w:t>d</w:t>
      </w:r>
      <w:r w:rsidR="00D84A48" w:rsidRPr="00B47608">
        <w:t>v</w:t>
      </w:r>
      <w:r w:rsidR="00927179" w:rsidRPr="00B47608">
        <w:t>ovuto</w:t>
      </w:r>
      <w:proofErr w:type="spellEnd"/>
      <w:r w:rsidR="00927179" w:rsidRPr="00B47608">
        <w:t xml:space="preserve"> alla sua relativa novità, alla mancanza di applicazioni concrete e consolidate per il commercio internazionale, o alla percezione che si tratti di una tecnologia ancora in fase di sviluppo e non adatta alle esigenze immediate delle imprese.</w:t>
      </w:r>
    </w:p>
    <w:p w14:paraId="3B87F8D2" w14:textId="77777777" w:rsidR="00230D19" w:rsidRPr="00B47608" w:rsidRDefault="00230D19" w:rsidP="00ED2A57">
      <w:pPr>
        <w:spacing w:after="0"/>
      </w:pPr>
    </w:p>
    <w:p w14:paraId="551791E0" w14:textId="42FD4E8A" w:rsidR="00230D19" w:rsidRPr="00B47608" w:rsidRDefault="00D53D0F" w:rsidP="00ED2A57">
      <w:pPr>
        <w:spacing w:after="0"/>
        <w:jc w:val="both"/>
        <w:rPr>
          <w:b/>
          <w:bCs/>
        </w:rPr>
      </w:pPr>
      <w:r w:rsidRPr="00B47608">
        <w:rPr>
          <w:b/>
          <w:bCs/>
        </w:rPr>
        <w:t xml:space="preserve">Graf. </w:t>
      </w:r>
      <w:r w:rsidR="00027B68" w:rsidRPr="00B47608">
        <w:rPr>
          <w:b/>
          <w:bCs/>
        </w:rPr>
        <w:t>5.2</w:t>
      </w:r>
      <w:r w:rsidR="00943B02" w:rsidRPr="00B47608">
        <w:rPr>
          <w:b/>
          <w:bCs/>
        </w:rPr>
        <w:t xml:space="preserve">a </w:t>
      </w:r>
      <w:r w:rsidR="005B4320" w:rsidRPr="00B47608">
        <w:rPr>
          <w:b/>
          <w:bCs/>
        </w:rPr>
        <w:t>A suo giudizio, con che intensità i seguenti strumenti impatteranno sull’internazionalizzazione della sua impresa?</w:t>
      </w:r>
      <w:r w:rsidR="00380C46" w:rsidRPr="00B47608">
        <w:rPr>
          <w:b/>
          <w:bCs/>
        </w:rPr>
        <w:t xml:space="preserve"> </w:t>
      </w:r>
      <w:r w:rsidR="00A11D9C" w:rsidRPr="00B47608">
        <w:rPr>
          <w:b/>
          <w:bCs/>
        </w:rPr>
        <w:t>1=per nulla, 5=moltissimo – valori medi</w:t>
      </w:r>
    </w:p>
    <w:p w14:paraId="3F84B9BE" w14:textId="067DE142" w:rsidR="00FE5EBB" w:rsidRPr="00B47608" w:rsidRDefault="00F34D73" w:rsidP="00ED2A57">
      <w:pPr>
        <w:spacing w:after="0"/>
        <w:jc w:val="both"/>
        <w:rPr>
          <w:b/>
          <w:bCs/>
        </w:rPr>
      </w:pPr>
      <w:r w:rsidRPr="00B47608">
        <w:rPr>
          <w:noProof/>
        </w:rPr>
        <w:drawing>
          <wp:inline distT="0" distB="0" distL="0" distR="0" wp14:anchorId="1BC1291B" wp14:editId="71EA5BAF">
            <wp:extent cx="5400040" cy="3429000"/>
            <wp:effectExtent l="0" t="0" r="0" b="0"/>
            <wp:docPr id="2029540801" name="Grafico 1">
              <a:extLst xmlns:a="http://schemas.openxmlformats.org/drawingml/2006/main">
                <a:ext uri="{FF2B5EF4-FFF2-40B4-BE49-F238E27FC236}">
                  <a16:creationId xmlns:a16="http://schemas.microsoft.com/office/drawing/2014/main" id="{7CA11243-4C58-4B05-8BE9-FDAAD38DD5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0ABD019" w14:textId="77777777" w:rsidR="00E8422B" w:rsidRPr="00B47608" w:rsidRDefault="00E8422B" w:rsidP="00ED2A57">
      <w:pPr>
        <w:spacing w:after="0"/>
      </w:pPr>
      <w:r w:rsidRPr="00B47608">
        <w:t>Fonte: Fondazione Nord Est (463 casi)</w:t>
      </w:r>
    </w:p>
    <w:p w14:paraId="4937189F" w14:textId="77777777" w:rsidR="00E8422B" w:rsidRDefault="00E8422B" w:rsidP="00ED2A57">
      <w:pPr>
        <w:spacing w:after="0"/>
      </w:pPr>
    </w:p>
    <w:p w14:paraId="191FB502" w14:textId="706FC638" w:rsidR="00E6165F" w:rsidRDefault="00E6165F">
      <w:r>
        <w:br w:type="page"/>
      </w:r>
    </w:p>
    <w:p w14:paraId="51B8C42E" w14:textId="10B31051" w:rsidR="00CB6D44" w:rsidRPr="00B47608" w:rsidRDefault="00943B02" w:rsidP="00943B02">
      <w:pPr>
        <w:spacing w:after="0"/>
        <w:jc w:val="both"/>
        <w:rPr>
          <w:b/>
          <w:bCs/>
        </w:rPr>
      </w:pPr>
      <w:r w:rsidRPr="00B47608">
        <w:rPr>
          <w:b/>
          <w:bCs/>
        </w:rPr>
        <w:lastRenderedPageBreak/>
        <w:t>Graf. 5.2b A suo giudizio, con che intensità i seguenti strumenti impatteranno sull’internazionalizzazione della sua impresa? 1=per nulla, 5=moltissimo – va</w:t>
      </w:r>
      <w:r w:rsidR="00231CA5" w:rsidRPr="00B47608">
        <w:rPr>
          <w:b/>
          <w:bCs/>
        </w:rPr>
        <w:t>l</w:t>
      </w:r>
      <w:r w:rsidRPr="00B47608">
        <w:rPr>
          <w:b/>
          <w:bCs/>
        </w:rPr>
        <w:t>. %</w:t>
      </w: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91"/>
        <w:gridCol w:w="708"/>
        <w:gridCol w:w="708"/>
        <w:gridCol w:w="710"/>
        <w:gridCol w:w="849"/>
        <w:gridCol w:w="710"/>
      </w:tblGrid>
      <w:tr w:rsidR="008A347D" w:rsidRPr="00B47608" w14:paraId="497B6727" w14:textId="77777777" w:rsidTr="000B2EF1">
        <w:trPr>
          <w:trHeight w:val="288"/>
        </w:trPr>
        <w:tc>
          <w:tcPr>
            <w:tcW w:w="3115" w:type="pct"/>
            <w:shd w:val="clear" w:color="auto" w:fill="auto"/>
            <w:noWrap/>
            <w:vAlign w:val="bottom"/>
            <w:hideMark/>
          </w:tcPr>
          <w:p w14:paraId="25C47A2F" w14:textId="77777777" w:rsidR="000557F4" w:rsidRPr="00B47608" w:rsidRDefault="000557F4" w:rsidP="000557F4">
            <w:pPr>
              <w:spacing w:after="0" w:line="240" w:lineRule="auto"/>
              <w:rPr>
                <w:rFonts w:eastAsia="Times New Roman" w:cs="Times New Roman"/>
                <w:kern w:val="0"/>
                <w:sz w:val="24"/>
                <w:szCs w:val="24"/>
                <w:lang w:eastAsia="it-IT"/>
                <w14:ligatures w14:val="none"/>
              </w:rPr>
            </w:pPr>
          </w:p>
        </w:tc>
        <w:tc>
          <w:tcPr>
            <w:tcW w:w="362" w:type="pct"/>
            <w:shd w:val="clear" w:color="auto" w:fill="auto"/>
            <w:vAlign w:val="center"/>
            <w:hideMark/>
          </w:tcPr>
          <w:p w14:paraId="7D903137" w14:textId="77777777" w:rsidR="000557F4" w:rsidRPr="00B47608" w:rsidRDefault="000557F4" w:rsidP="000557F4">
            <w:pPr>
              <w:spacing w:after="0" w:line="240" w:lineRule="auto"/>
              <w:jc w:val="center"/>
              <w:rPr>
                <w:rFonts w:eastAsia="Times New Roman" w:cs="Arial"/>
                <w:b/>
                <w:bCs/>
                <w:color w:val="000000"/>
                <w:kern w:val="0"/>
                <w:sz w:val="18"/>
                <w:szCs w:val="18"/>
                <w:lang w:eastAsia="it-IT"/>
                <w14:ligatures w14:val="none"/>
              </w:rPr>
            </w:pPr>
            <w:r w:rsidRPr="00B47608">
              <w:rPr>
                <w:rFonts w:eastAsia="Times New Roman" w:cs="Arial"/>
                <w:b/>
                <w:bCs/>
                <w:color w:val="000000"/>
                <w:kern w:val="0"/>
                <w:sz w:val="18"/>
                <w:szCs w:val="18"/>
                <w:lang w:eastAsia="it-IT"/>
                <w14:ligatures w14:val="none"/>
              </w:rPr>
              <w:t>1+2</w:t>
            </w:r>
          </w:p>
        </w:tc>
        <w:tc>
          <w:tcPr>
            <w:tcW w:w="362" w:type="pct"/>
            <w:shd w:val="clear" w:color="auto" w:fill="auto"/>
            <w:vAlign w:val="center"/>
            <w:hideMark/>
          </w:tcPr>
          <w:p w14:paraId="1FBD0A83" w14:textId="77777777" w:rsidR="000557F4" w:rsidRPr="00B47608" w:rsidRDefault="000557F4" w:rsidP="000557F4">
            <w:pPr>
              <w:spacing w:after="0" w:line="240" w:lineRule="auto"/>
              <w:jc w:val="center"/>
              <w:rPr>
                <w:rFonts w:eastAsia="Times New Roman" w:cs="Arial"/>
                <w:b/>
                <w:bCs/>
                <w:color w:val="000000"/>
                <w:kern w:val="0"/>
                <w:sz w:val="18"/>
                <w:szCs w:val="18"/>
                <w:lang w:eastAsia="it-IT"/>
                <w14:ligatures w14:val="none"/>
              </w:rPr>
            </w:pPr>
            <w:r w:rsidRPr="00B47608">
              <w:rPr>
                <w:rFonts w:eastAsia="Times New Roman" w:cs="Arial"/>
                <w:b/>
                <w:bCs/>
                <w:color w:val="000000"/>
                <w:kern w:val="0"/>
                <w:sz w:val="18"/>
                <w:szCs w:val="18"/>
                <w:lang w:eastAsia="it-IT"/>
                <w14:ligatures w14:val="none"/>
              </w:rPr>
              <w:t>3</w:t>
            </w:r>
          </w:p>
        </w:tc>
        <w:tc>
          <w:tcPr>
            <w:tcW w:w="363" w:type="pct"/>
            <w:shd w:val="clear" w:color="auto" w:fill="auto"/>
            <w:vAlign w:val="center"/>
            <w:hideMark/>
          </w:tcPr>
          <w:p w14:paraId="3248FD10" w14:textId="77777777" w:rsidR="000557F4" w:rsidRPr="00B47608" w:rsidRDefault="000557F4" w:rsidP="000557F4">
            <w:pPr>
              <w:spacing w:after="0" w:line="240" w:lineRule="auto"/>
              <w:jc w:val="center"/>
              <w:rPr>
                <w:rFonts w:eastAsia="Times New Roman" w:cs="Arial"/>
                <w:b/>
                <w:bCs/>
                <w:color w:val="000000"/>
                <w:kern w:val="0"/>
                <w:sz w:val="18"/>
                <w:szCs w:val="18"/>
                <w:lang w:eastAsia="it-IT"/>
                <w14:ligatures w14:val="none"/>
              </w:rPr>
            </w:pPr>
            <w:r w:rsidRPr="00B47608">
              <w:rPr>
                <w:rFonts w:eastAsia="Times New Roman" w:cs="Arial"/>
                <w:b/>
                <w:bCs/>
                <w:color w:val="000000"/>
                <w:kern w:val="0"/>
                <w:sz w:val="18"/>
                <w:szCs w:val="18"/>
                <w:lang w:eastAsia="it-IT"/>
                <w14:ligatures w14:val="none"/>
              </w:rPr>
              <w:t>4+5</w:t>
            </w:r>
          </w:p>
        </w:tc>
        <w:tc>
          <w:tcPr>
            <w:tcW w:w="434" w:type="pct"/>
            <w:shd w:val="clear" w:color="auto" w:fill="auto"/>
            <w:noWrap/>
            <w:vAlign w:val="bottom"/>
            <w:hideMark/>
          </w:tcPr>
          <w:p w14:paraId="35210E81" w14:textId="77777777" w:rsidR="000557F4" w:rsidRPr="00B47608" w:rsidRDefault="000557F4" w:rsidP="000557F4">
            <w:pPr>
              <w:spacing w:after="0" w:line="240" w:lineRule="auto"/>
              <w:jc w:val="center"/>
              <w:rPr>
                <w:rFonts w:eastAsia="Times New Roman" w:cs="Calibri"/>
                <w:b/>
                <w:bCs/>
                <w:color w:val="000000"/>
                <w:kern w:val="0"/>
                <w:lang w:eastAsia="it-IT"/>
                <w14:ligatures w14:val="none"/>
              </w:rPr>
            </w:pPr>
            <w:proofErr w:type="spellStart"/>
            <w:r w:rsidRPr="00B47608">
              <w:rPr>
                <w:rFonts w:eastAsia="Times New Roman" w:cs="Calibri"/>
                <w:b/>
                <w:bCs/>
                <w:color w:val="000000"/>
                <w:kern w:val="0"/>
                <w:lang w:eastAsia="it-IT"/>
                <w14:ligatures w14:val="none"/>
              </w:rPr>
              <w:t>n.r</w:t>
            </w:r>
            <w:proofErr w:type="spellEnd"/>
            <w:r w:rsidRPr="00B47608">
              <w:rPr>
                <w:rFonts w:eastAsia="Times New Roman" w:cs="Calibri"/>
                <w:b/>
                <w:bCs/>
                <w:color w:val="000000"/>
                <w:kern w:val="0"/>
                <w:lang w:eastAsia="it-IT"/>
                <w14:ligatures w14:val="none"/>
              </w:rPr>
              <w:t>.</w:t>
            </w:r>
          </w:p>
        </w:tc>
        <w:tc>
          <w:tcPr>
            <w:tcW w:w="363" w:type="pct"/>
            <w:shd w:val="clear" w:color="auto" w:fill="auto"/>
            <w:noWrap/>
            <w:vAlign w:val="bottom"/>
            <w:hideMark/>
          </w:tcPr>
          <w:p w14:paraId="50362D79" w14:textId="479485FF" w:rsidR="000557F4" w:rsidRPr="00B47608" w:rsidRDefault="000557F4" w:rsidP="000557F4">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Tot</w:t>
            </w:r>
          </w:p>
        </w:tc>
      </w:tr>
      <w:tr w:rsidR="008A347D" w:rsidRPr="00B47608" w14:paraId="5839944D" w14:textId="77777777" w:rsidTr="000B2EF1">
        <w:trPr>
          <w:trHeight w:val="284"/>
        </w:trPr>
        <w:tc>
          <w:tcPr>
            <w:tcW w:w="3115" w:type="pct"/>
            <w:shd w:val="clear" w:color="auto" w:fill="auto"/>
            <w:noWrap/>
            <w:vAlign w:val="bottom"/>
            <w:hideMark/>
          </w:tcPr>
          <w:p w14:paraId="1E312819" w14:textId="77777777" w:rsidR="000557F4" w:rsidRPr="00B47608" w:rsidRDefault="000557F4" w:rsidP="000557F4">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Intelligenza artificiale per monitorare le reti di fornitura</w:t>
            </w:r>
          </w:p>
        </w:tc>
        <w:tc>
          <w:tcPr>
            <w:tcW w:w="362" w:type="pct"/>
            <w:shd w:val="clear" w:color="000000" w:fill="AFC6E4"/>
            <w:noWrap/>
            <w:vAlign w:val="center"/>
            <w:hideMark/>
          </w:tcPr>
          <w:p w14:paraId="5EDC1442" w14:textId="5F582627" w:rsidR="000557F4" w:rsidRPr="00B47608" w:rsidRDefault="000557F4" w:rsidP="008A347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45,0</w:t>
            </w:r>
          </w:p>
        </w:tc>
        <w:tc>
          <w:tcPr>
            <w:tcW w:w="362" w:type="pct"/>
            <w:shd w:val="clear" w:color="000000" w:fill="F9FAFE"/>
            <w:noWrap/>
            <w:vAlign w:val="center"/>
            <w:hideMark/>
          </w:tcPr>
          <w:p w14:paraId="3C020543" w14:textId="53BCA206" w:rsidR="000557F4" w:rsidRPr="00B47608" w:rsidRDefault="000557F4" w:rsidP="008A347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26,4</w:t>
            </w:r>
          </w:p>
        </w:tc>
        <w:tc>
          <w:tcPr>
            <w:tcW w:w="363" w:type="pct"/>
            <w:shd w:val="clear" w:color="000000" w:fill="FAD4D7"/>
            <w:noWrap/>
            <w:vAlign w:val="center"/>
            <w:hideMark/>
          </w:tcPr>
          <w:p w14:paraId="3490BAA6" w14:textId="06A0A3B0" w:rsidR="000557F4" w:rsidRPr="00B47608" w:rsidRDefault="000557F4" w:rsidP="008A347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19,8</w:t>
            </w:r>
          </w:p>
        </w:tc>
        <w:tc>
          <w:tcPr>
            <w:tcW w:w="434" w:type="pct"/>
            <w:shd w:val="clear" w:color="auto" w:fill="auto"/>
            <w:noWrap/>
            <w:vAlign w:val="center"/>
            <w:hideMark/>
          </w:tcPr>
          <w:p w14:paraId="2F554DF1" w14:textId="5BB452CE" w:rsidR="000557F4" w:rsidRPr="00B47608" w:rsidRDefault="000557F4" w:rsidP="008A347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8,7</w:t>
            </w:r>
          </w:p>
        </w:tc>
        <w:tc>
          <w:tcPr>
            <w:tcW w:w="363" w:type="pct"/>
            <w:shd w:val="clear" w:color="auto" w:fill="auto"/>
            <w:noWrap/>
            <w:vAlign w:val="center"/>
            <w:hideMark/>
          </w:tcPr>
          <w:p w14:paraId="769BF602" w14:textId="626F1881" w:rsidR="000557F4" w:rsidRPr="00B47608" w:rsidRDefault="000557F4" w:rsidP="008A347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w:t>
            </w:r>
          </w:p>
        </w:tc>
      </w:tr>
      <w:tr w:rsidR="008A347D" w:rsidRPr="00B47608" w14:paraId="6601664E" w14:textId="77777777" w:rsidTr="000B2EF1">
        <w:trPr>
          <w:trHeight w:val="284"/>
        </w:trPr>
        <w:tc>
          <w:tcPr>
            <w:tcW w:w="3115" w:type="pct"/>
            <w:shd w:val="clear" w:color="auto" w:fill="auto"/>
            <w:noWrap/>
            <w:vAlign w:val="bottom"/>
            <w:hideMark/>
          </w:tcPr>
          <w:p w14:paraId="33FB2544" w14:textId="77777777" w:rsidR="000557F4" w:rsidRPr="00B47608" w:rsidRDefault="000557F4" w:rsidP="000557F4">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Large Language Models (AI Generativa) per il marketing digitale</w:t>
            </w:r>
          </w:p>
        </w:tc>
        <w:tc>
          <w:tcPr>
            <w:tcW w:w="362" w:type="pct"/>
            <w:shd w:val="clear" w:color="000000" w:fill="A7C0E1"/>
            <w:noWrap/>
            <w:vAlign w:val="center"/>
            <w:hideMark/>
          </w:tcPr>
          <w:p w14:paraId="44D16CA2" w14:textId="47378FDB" w:rsidR="000557F4" w:rsidRPr="00B47608" w:rsidRDefault="000557F4" w:rsidP="008A347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47,1</w:t>
            </w:r>
          </w:p>
        </w:tc>
        <w:tc>
          <w:tcPr>
            <w:tcW w:w="362" w:type="pct"/>
            <w:shd w:val="clear" w:color="000000" w:fill="FBE5E7"/>
            <w:noWrap/>
            <w:vAlign w:val="center"/>
            <w:hideMark/>
          </w:tcPr>
          <w:p w14:paraId="31414EE8" w14:textId="39969662" w:rsidR="000557F4" w:rsidRPr="00B47608" w:rsidRDefault="000557F4" w:rsidP="008A347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22,2</w:t>
            </w:r>
          </w:p>
        </w:tc>
        <w:tc>
          <w:tcPr>
            <w:tcW w:w="363" w:type="pct"/>
            <w:shd w:val="clear" w:color="000000" w:fill="FAD3D6"/>
            <w:noWrap/>
            <w:vAlign w:val="center"/>
            <w:hideMark/>
          </w:tcPr>
          <w:p w14:paraId="317CDBC5" w14:textId="6113EE90" w:rsidR="000557F4" w:rsidRPr="00B47608" w:rsidRDefault="000557F4" w:rsidP="008A347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19,7</w:t>
            </w:r>
          </w:p>
        </w:tc>
        <w:tc>
          <w:tcPr>
            <w:tcW w:w="434" w:type="pct"/>
            <w:shd w:val="clear" w:color="auto" w:fill="auto"/>
            <w:noWrap/>
            <w:vAlign w:val="center"/>
            <w:hideMark/>
          </w:tcPr>
          <w:p w14:paraId="1E07E4F8" w14:textId="54B3F6A8" w:rsidR="000557F4" w:rsidRPr="00B47608" w:rsidRDefault="000557F4" w:rsidP="008A347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11,0</w:t>
            </w:r>
          </w:p>
        </w:tc>
        <w:tc>
          <w:tcPr>
            <w:tcW w:w="363" w:type="pct"/>
            <w:shd w:val="clear" w:color="auto" w:fill="auto"/>
            <w:noWrap/>
            <w:vAlign w:val="center"/>
            <w:hideMark/>
          </w:tcPr>
          <w:p w14:paraId="2FE7ADC0" w14:textId="77EDFBE3" w:rsidR="000557F4" w:rsidRPr="00B47608" w:rsidRDefault="000557F4" w:rsidP="008A347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w:t>
            </w:r>
          </w:p>
        </w:tc>
      </w:tr>
      <w:tr w:rsidR="008A347D" w:rsidRPr="00B47608" w14:paraId="1BD4D98F" w14:textId="77777777" w:rsidTr="000B2EF1">
        <w:trPr>
          <w:trHeight w:val="284"/>
        </w:trPr>
        <w:tc>
          <w:tcPr>
            <w:tcW w:w="3115" w:type="pct"/>
            <w:shd w:val="clear" w:color="auto" w:fill="auto"/>
            <w:noWrap/>
            <w:vAlign w:val="bottom"/>
            <w:hideMark/>
          </w:tcPr>
          <w:p w14:paraId="5EBEAA15" w14:textId="77777777" w:rsidR="000557F4" w:rsidRPr="00B47608" w:rsidRDefault="000557F4" w:rsidP="000557F4">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Ai generativa/il digitale per l’assistenza ai clienti (anche da remoto)</w:t>
            </w:r>
          </w:p>
        </w:tc>
        <w:tc>
          <w:tcPr>
            <w:tcW w:w="362" w:type="pct"/>
            <w:shd w:val="clear" w:color="000000" w:fill="B2C8E5"/>
            <w:noWrap/>
            <w:vAlign w:val="center"/>
            <w:hideMark/>
          </w:tcPr>
          <w:p w14:paraId="538FC91C" w14:textId="088CA57E" w:rsidR="000557F4" w:rsidRPr="00B47608" w:rsidRDefault="000557F4" w:rsidP="008A347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44,4</w:t>
            </w:r>
          </w:p>
        </w:tc>
        <w:tc>
          <w:tcPr>
            <w:tcW w:w="362" w:type="pct"/>
            <w:shd w:val="clear" w:color="000000" w:fill="F8F9FE"/>
            <w:noWrap/>
            <w:vAlign w:val="center"/>
            <w:hideMark/>
          </w:tcPr>
          <w:p w14:paraId="4E231D13" w14:textId="16B58A73" w:rsidR="000557F4" w:rsidRPr="00B47608" w:rsidRDefault="000557F4" w:rsidP="008A347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26,7</w:t>
            </w:r>
          </w:p>
        </w:tc>
        <w:tc>
          <w:tcPr>
            <w:tcW w:w="363" w:type="pct"/>
            <w:shd w:val="clear" w:color="000000" w:fill="FAC9CC"/>
            <w:noWrap/>
            <w:vAlign w:val="center"/>
            <w:hideMark/>
          </w:tcPr>
          <w:p w14:paraId="341F3CF1" w14:textId="4D8D0FAE" w:rsidR="000557F4" w:rsidRPr="00B47608" w:rsidRDefault="000557F4" w:rsidP="008A347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18,3</w:t>
            </w:r>
          </w:p>
        </w:tc>
        <w:tc>
          <w:tcPr>
            <w:tcW w:w="434" w:type="pct"/>
            <w:shd w:val="clear" w:color="auto" w:fill="auto"/>
            <w:noWrap/>
            <w:vAlign w:val="center"/>
            <w:hideMark/>
          </w:tcPr>
          <w:p w14:paraId="2D71B7A1" w14:textId="379F5F00" w:rsidR="000557F4" w:rsidRPr="00B47608" w:rsidRDefault="000557F4" w:rsidP="008A347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10,5</w:t>
            </w:r>
          </w:p>
        </w:tc>
        <w:tc>
          <w:tcPr>
            <w:tcW w:w="363" w:type="pct"/>
            <w:shd w:val="clear" w:color="auto" w:fill="auto"/>
            <w:noWrap/>
            <w:vAlign w:val="center"/>
            <w:hideMark/>
          </w:tcPr>
          <w:p w14:paraId="7E9E594D" w14:textId="18018D2D" w:rsidR="000557F4" w:rsidRPr="00B47608" w:rsidRDefault="000557F4" w:rsidP="008A347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w:t>
            </w:r>
          </w:p>
        </w:tc>
      </w:tr>
      <w:tr w:rsidR="008A347D" w:rsidRPr="00B47608" w14:paraId="247A0612" w14:textId="77777777" w:rsidTr="000B2EF1">
        <w:trPr>
          <w:trHeight w:val="284"/>
        </w:trPr>
        <w:tc>
          <w:tcPr>
            <w:tcW w:w="3115" w:type="pct"/>
            <w:shd w:val="clear" w:color="auto" w:fill="auto"/>
            <w:noWrap/>
            <w:vAlign w:val="bottom"/>
            <w:hideMark/>
          </w:tcPr>
          <w:p w14:paraId="4FAAFCB8" w14:textId="77777777" w:rsidR="000557F4" w:rsidRPr="00B47608" w:rsidRDefault="000557F4" w:rsidP="000557F4">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AI per identificare nuove opportunità, prevedere la domanda (di mercato) o analizzare i concorrenti</w:t>
            </w:r>
          </w:p>
        </w:tc>
        <w:tc>
          <w:tcPr>
            <w:tcW w:w="362" w:type="pct"/>
            <w:shd w:val="clear" w:color="000000" w:fill="E0E8F5"/>
            <w:noWrap/>
            <w:vAlign w:val="center"/>
            <w:hideMark/>
          </w:tcPr>
          <w:p w14:paraId="6DADFA67" w14:textId="0EB9C59D" w:rsidR="000557F4" w:rsidRPr="00B47608" w:rsidRDefault="000557F4" w:rsidP="008A347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32,8</w:t>
            </w:r>
          </w:p>
        </w:tc>
        <w:tc>
          <w:tcPr>
            <w:tcW w:w="362" w:type="pct"/>
            <w:shd w:val="clear" w:color="000000" w:fill="E6ECF7"/>
            <w:noWrap/>
            <w:vAlign w:val="center"/>
            <w:hideMark/>
          </w:tcPr>
          <w:p w14:paraId="466C4046" w14:textId="07DEE118" w:rsidR="000557F4" w:rsidRPr="00B47608" w:rsidRDefault="000557F4" w:rsidP="008A347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31,2</w:t>
            </w:r>
          </w:p>
        </w:tc>
        <w:tc>
          <w:tcPr>
            <w:tcW w:w="363" w:type="pct"/>
            <w:shd w:val="clear" w:color="000000" w:fill="FCFCFF"/>
            <w:noWrap/>
            <w:vAlign w:val="center"/>
            <w:hideMark/>
          </w:tcPr>
          <w:p w14:paraId="41EA84D6" w14:textId="0C6E0D05" w:rsidR="000557F4" w:rsidRPr="00B47608" w:rsidRDefault="000557F4" w:rsidP="008A347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25,5</w:t>
            </w:r>
          </w:p>
        </w:tc>
        <w:tc>
          <w:tcPr>
            <w:tcW w:w="434" w:type="pct"/>
            <w:shd w:val="clear" w:color="auto" w:fill="auto"/>
            <w:noWrap/>
            <w:vAlign w:val="center"/>
            <w:hideMark/>
          </w:tcPr>
          <w:p w14:paraId="5CF6E38D" w14:textId="74F62E3D" w:rsidR="000557F4" w:rsidRPr="00B47608" w:rsidRDefault="000557F4" w:rsidP="008A347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10,5</w:t>
            </w:r>
          </w:p>
        </w:tc>
        <w:tc>
          <w:tcPr>
            <w:tcW w:w="363" w:type="pct"/>
            <w:shd w:val="clear" w:color="auto" w:fill="auto"/>
            <w:noWrap/>
            <w:vAlign w:val="center"/>
            <w:hideMark/>
          </w:tcPr>
          <w:p w14:paraId="068481F3" w14:textId="08A60C0C" w:rsidR="000557F4" w:rsidRPr="00B47608" w:rsidRDefault="000557F4" w:rsidP="008A347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w:t>
            </w:r>
          </w:p>
        </w:tc>
      </w:tr>
      <w:tr w:rsidR="008A347D" w:rsidRPr="00B47608" w14:paraId="0F5E9DD5" w14:textId="77777777" w:rsidTr="000B2EF1">
        <w:trPr>
          <w:trHeight w:val="284"/>
        </w:trPr>
        <w:tc>
          <w:tcPr>
            <w:tcW w:w="3115" w:type="pct"/>
            <w:shd w:val="clear" w:color="auto" w:fill="auto"/>
            <w:noWrap/>
            <w:vAlign w:val="bottom"/>
            <w:hideMark/>
          </w:tcPr>
          <w:p w14:paraId="78479C41" w14:textId="77777777" w:rsidR="000557F4" w:rsidRPr="00B47608" w:rsidRDefault="000557F4" w:rsidP="000557F4">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La realtà virtuale immersiva (es. Metaverso)</w:t>
            </w:r>
          </w:p>
        </w:tc>
        <w:tc>
          <w:tcPr>
            <w:tcW w:w="362" w:type="pct"/>
            <w:shd w:val="clear" w:color="000000" w:fill="5A8AC6"/>
            <w:noWrap/>
            <w:vAlign w:val="center"/>
            <w:hideMark/>
          </w:tcPr>
          <w:p w14:paraId="6E4260E6" w14:textId="1FEC73EC" w:rsidR="000557F4" w:rsidRPr="00B47608" w:rsidRDefault="000557F4" w:rsidP="008A347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66,6</w:t>
            </w:r>
          </w:p>
        </w:tc>
        <w:tc>
          <w:tcPr>
            <w:tcW w:w="362" w:type="pct"/>
            <w:shd w:val="clear" w:color="000000" w:fill="FABEC1"/>
            <w:noWrap/>
            <w:vAlign w:val="center"/>
            <w:hideMark/>
          </w:tcPr>
          <w:p w14:paraId="038C37FE" w14:textId="4D27D656" w:rsidR="000557F4" w:rsidRPr="00B47608" w:rsidRDefault="000557F4" w:rsidP="008A347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16,8</w:t>
            </w:r>
          </w:p>
        </w:tc>
        <w:tc>
          <w:tcPr>
            <w:tcW w:w="363" w:type="pct"/>
            <w:shd w:val="clear" w:color="000000" w:fill="F8696B"/>
            <w:noWrap/>
            <w:vAlign w:val="center"/>
            <w:hideMark/>
          </w:tcPr>
          <w:p w14:paraId="354CB60F" w14:textId="0C568487" w:rsidR="000557F4" w:rsidRPr="00B47608" w:rsidRDefault="000557F4" w:rsidP="008A347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4,6</w:t>
            </w:r>
          </w:p>
        </w:tc>
        <w:tc>
          <w:tcPr>
            <w:tcW w:w="434" w:type="pct"/>
            <w:shd w:val="clear" w:color="auto" w:fill="auto"/>
            <w:noWrap/>
            <w:vAlign w:val="center"/>
            <w:hideMark/>
          </w:tcPr>
          <w:p w14:paraId="5AF12C6C" w14:textId="6E26D601" w:rsidR="000557F4" w:rsidRPr="00B47608" w:rsidRDefault="000557F4" w:rsidP="008A347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12,1</w:t>
            </w:r>
          </w:p>
        </w:tc>
        <w:tc>
          <w:tcPr>
            <w:tcW w:w="363" w:type="pct"/>
            <w:shd w:val="clear" w:color="auto" w:fill="auto"/>
            <w:noWrap/>
            <w:vAlign w:val="center"/>
            <w:hideMark/>
          </w:tcPr>
          <w:p w14:paraId="7142164E" w14:textId="6CA025BD" w:rsidR="000557F4" w:rsidRPr="00B47608" w:rsidRDefault="000557F4" w:rsidP="008A347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w:t>
            </w:r>
          </w:p>
        </w:tc>
      </w:tr>
      <w:tr w:rsidR="008A347D" w:rsidRPr="00B47608" w14:paraId="50E972E0" w14:textId="77777777" w:rsidTr="000B2EF1">
        <w:trPr>
          <w:trHeight w:val="284"/>
        </w:trPr>
        <w:tc>
          <w:tcPr>
            <w:tcW w:w="3115" w:type="pct"/>
            <w:shd w:val="clear" w:color="auto" w:fill="auto"/>
            <w:noWrap/>
            <w:vAlign w:val="bottom"/>
            <w:hideMark/>
          </w:tcPr>
          <w:p w14:paraId="3BD9B2A5" w14:textId="77777777" w:rsidR="000557F4" w:rsidRPr="00B47608" w:rsidRDefault="000557F4" w:rsidP="000557F4">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E-commerce</w:t>
            </w:r>
          </w:p>
        </w:tc>
        <w:tc>
          <w:tcPr>
            <w:tcW w:w="362" w:type="pct"/>
            <w:shd w:val="clear" w:color="000000" w:fill="A7C0E1"/>
            <w:noWrap/>
            <w:vAlign w:val="center"/>
            <w:hideMark/>
          </w:tcPr>
          <w:p w14:paraId="29A73B9C" w14:textId="31E484A3" w:rsidR="000557F4" w:rsidRPr="00B47608" w:rsidRDefault="000557F4" w:rsidP="008A347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47,1</w:t>
            </w:r>
          </w:p>
        </w:tc>
        <w:tc>
          <w:tcPr>
            <w:tcW w:w="362" w:type="pct"/>
            <w:shd w:val="clear" w:color="000000" w:fill="FACFD2"/>
            <w:noWrap/>
            <w:vAlign w:val="center"/>
            <w:hideMark/>
          </w:tcPr>
          <w:p w14:paraId="0FA69715" w14:textId="26C11E35" w:rsidR="000557F4" w:rsidRPr="00B47608" w:rsidRDefault="000557F4" w:rsidP="008A347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19,2</w:t>
            </w:r>
          </w:p>
        </w:tc>
        <w:tc>
          <w:tcPr>
            <w:tcW w:w="363" w:type="pct"/>
            <w:shd w:val="clear" w:color="000000" w:fill="FBE9EC"/>
            <w:noWrap/>
            <w:vAlign w:val="center"/>
            <w:hideMark/>
          </w:tcPr>
          <w:p w14:paraId="04FEB814" w14:textId="59B0AB8C" w:rsidR="000557F4" w:rsidRPr="00B47608" w:rsidRDefault="000557F4" w:rsidP="008A347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22,9</w:t>
            </w:r>
          </w:p>
        </w:tc>
        <w:tc>
          <w:tcPr>
            <w:tcW w:w="434" w:type="pct"/>
            <w:shd w:val="clear" w:color="auto" w:fill="auto"/>
            <w:noWrap/>
            <w:vAlign w:val="center"/>
            <w:hideMark/>
          </w:tcPr>
          <w:p w14:paraId="3AE89AA0" w14:textId="69B200F5" w:rsidR="000557F4" w:rsidRPr="00B47608" w:rsidRDefault="000557F4" w:rsidP="008A347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10,8</w:t>
            </w:r>
          </w:p>
        </w:tc>
        <w:tc>
          <w:tcPr>
            <w:tcW w:w="363" w:type="pct"/>
            <w:shd w:val="clear" w:color="auto" w:fill="auto"/>
            <w:noWrap/>
            <w:vAlign w:val="center"/>
            <w:hideMark/>
          </w:tcPr>
          <w:p w14:paraId="0880D148" w14:textId="38516ABA" w:rsidR="000557F4" w:rsidRPr="00B47608" w:rsidRDefault="000557F4" w:rsidP="008A347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w:t>
            </w:r>
          </w:p>
        </w:tc>
      </w:tr>
      <w:tr w:rsidR="008A347D" w:rsidRPr="00B47608" w14:paraId="08BA383D" w14:textId="77777777" w:rsidTr="000B2EF1">
        <w:trPr>
          <w:trHeight w:val="284"/>
        </w:trPr>
        <w:tc>
          <w:tcPr>
            <w:tcW w:w="3115" w:type="pct"/>
            <w:shd w:val="clear" w:color="auto" w:fill="auto"/>
            <w:noWrap/>
            <w:vAlign w:val="bottom"/>
            <w:hideMark/>
          </w:tcPr>
          <w:p w14:paraId="26E8CC4D" w14:textId="77777777" w:rsidR="000557F4" w:rsidRPr="00B47608" w:rsidRDefault="000557F4" w:rsidP="000557F4">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Social commerce</w:t>
            </w:r>
          </w:p>
        </w:tc>
        <w:tc>
          <w:tcPr>
            <w:tcW w:w="362" w:type="pct"/>
            <w:shd w:val="clear" w:color="000000" w:fill="99B7DD"/>
            <w:noWrap/>
            <w:vAlign w:val="center"/>
            <w:hideMark/>
          </w:tcPr>
          <w:p w14:paraId="4BF2600B" w14:textId="43B44210" w:rsidR="000557F4" w:rsidRPr="00B47608" w:rsidRDefault="000557F4" w:rsidP="008A347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50,6</w:t>
            </w:r>
          </w:p>
        </w:tc>
        <w:tc>
          <w:tcPr>
            <w:tcW w:w="362" w:type="pct"/>
            <w:shd w:val="clear" w:color="000000" w:fill="FBE1E4"/>
            <w:noWrap/>
            <w:vAlign w:val="center"/>
            <w:hideMark/>
          </w:tcPr>
          <w:p w14:paraId="2C5B5712" w14:textId="75574A22" w:rsidR="000557F4" w:rsidRPr="00B47608" w:rsidRDefault="000557F4" w:rsidP="008A347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21,8</w:t>
            </w:r>
          </w:p>
        </w:tc>
        <w:tc>
          <w:tcPr>
            <w:tcW w:w="363" w:type="pct"/>
            <w:shd w:val="clear" w:color="000000" w:fill="FAB4B7"/>
            <w:noWrap/>
            <w:vAlign w:val="center"/>
            <w:hideMark/>
          </w:tcPr>
          <w:p w14:paraId="4728158C" w14:textId="30C3F0E4" w:rsidR="000557F4" w:rsidRPr="00B47608" w:rsidRDefault="000557F4" w:rsidP="008A347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15,3</w:t>
            </w:r>
          </w:p>
        </w:tc>
        <w:tc>
          <w:tcPr>
            <w:tcW w:w="434" w:type="pct"/>
            <w:shd w:val="clear" w:color="auto" w:fill="auto"/>
            <w:noWrap/>
            <w:vAlign w:val="center"/>
            <w:hideMark/>
          </w:tcPr>
          <w:p w14:paraId="67CF64B0" w14:textId="67FD1C17" w:rsidR="000557F4" w:rsidRPr="00B47608" w:rsidRDefault="000557F4" w:rsidP="008A347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12,3</w:t>
            </w:r>
          </w:p>
        </w:tc>
        <w:tc>
          <w:tcPr>
            <w:tcW w:w="363" w:type="pct"/>
            <w:shd w:val="clear" w:color="auto" w:fill="auto"/>
            <w:noWrap/>
            <w:vAlign w:val="center"/>
            <w:hideMark/>
          </w:tcPr>
          <w:p w14:paraId="1A56A30F" w14:textId="6C80A8D7" w:rsidR="000557F4" w:rsidRPr="00B47608" w:rsidRDefault="000557F4" w:rsidP="008A347D">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w:t>
            </w:r>
          </w:p>
        </w:tc>
      </w:tr>
    </w:tbl>
    <w:p w14:paraId="04AF9304" w14:textId="579AE84D" w:rsidR="000557F4" w:rsidRPr="00B47608" w:rsidRDefault="00CB6D44" w:rsidP="00ED2A57">
      <w:pPr>
        <w:spacing w:after="0"/>
      </w:pPr>
      <w:r w:rsidRPr="00B47608">
        <w:t>Fonte: Fondazione Nord Est (463 casi)</w:t>
      </w:r>
    </w:p>
    <w:p w14:paraId="3EF8464A" w14:textId="77777777" w:rsidR="00927179" w:rsidRPr="0003327E" w:rsidRDefault="00927179" w:rsidP="00ED2A57">
      <w:pPr>
        <w:spacing w:after="0"/>
        <w:rPr>
          <w:sz w:val="18"/>
          <w:szCs w:val="18"/>
        </w:rPr>
      </w:pPr>
    </w:p>
    <w:p w14:paraId="2F4AF2B9" w14:textId="77777777" w:rsidR="00864F64" w:rsidRPr="00B47608" w:rsidRDefault="00E6360A" w:rsidP="0003327E">
      <w:pPr>
        <w:spacing w:after="0"/>
        <w:jc w:val="both"/>
      </w:pPr>
      <w:r w:rsidRPr="00B47608">
        <w:t xml:space="preserve">La transizione gemella alla digitalizzazione è </w:t>
      </w:r>
      <w:r w:rsidR="00A316CE" w:rsidRPr="00B47608">
        <w:t xml:space="preserve">quella verso </w:t>
      </w:r>
      <w:r w:rsidRPr="00B47608">
        <w:t>la sostenibilit</w:t>
      </w:r>
      <w:r w:rsidR="00415DA4" w:rsidRPr="00B47608">
        <w:t xml:space="preserve">à. </w:t>
      </w:r>
      <w:r w:rsidR="00A316CE" w:rsidRPr="00B47608">
        <w:t>La rilevazione 2024 si è focalizzata</w:t>
      </w:r>
      <w:r w:rsidR="00FA5E20" w:rsidRPr="00B47608">
        <w:t xml:space="preserve">, in particolare, sulla sostenibilità ambientale e sul rapporto che questa ha rispetto ai processi di internazionalizzazione delle imprese manifatturiere. </w:t>
      </w:r>
    </w:p>
    <w:p w14:paraId="73DAF6FD" w14:textId="21970A5E" w:rsidR="008A209B" w:rsidRPr="00B47608" w:rsidRDefault="00135228" w:rsidP="0003327E">
      <w:pPr>
        <w:spacing w:after="0"/>
        <w:jc w:val="both"/>
      </w:pPr>
      <w:r w:rsidRPr="00B47608">
        <w:t xml:space="preserve">In generale, </w:t>
      </w:r>
      <w:bookmarkStart w:id="18" w:name="_Hlk190238552"/>
      <w:r w:rsidRPr="00B47608">
        <w:t xml:space="preserve">il 53,8% delle imprese </w:t>
      </w:r>
      <w:r w:rsidR="00220503" w:rsidRPr="00B47608">
        <w:t>sostiene</w:t>
      </w:r>
      <w:r w:rsidRPr="00B47608">
        <w:t xml:space="preserve"> che la </w:t>
      </w:r>
      <w:r w:rsidR="00220503" w:rsidRPr="00B47608">
        <w:t>sostenibilità</w:t>
      </w:r>
      <w:r w:rsidRPr="00B47608">
        <w:t xml:space="preserve"> </w:t>
      </w:r>
      <w:r w:rsidR="00086BC0" w:rsidRPr="00B47608">
        <w:t>è</w:t>
      </w:r>
      <w:r w:rsidR="00C5170F" w:rsidRPr="00B47608">
        <w:t xml:space="preserve"> un fattore</w:t>
      </w:r>
      <w:r w:rsidRPr="00B47608">
        <w:t xml:space="preserve"> importante per il </w:t>
      </w:r>
      <w:r w:rsidR="00220503" w:rsidRPr="00B47608">
        <w:t xml:space="preserve">successo </w:t>
      </w:r>
      <w:r w:rsidR="00A163BE" w:rsidRPr="00B47608">
        <w:t>d</w:t>
      </w:r>
      <w:r w:rsidR="00220503" w:rsidRPr="00B47608">
        <w:t xml:space="preserve">ell’espansione </w:t>
      </w:r>
      <w:r w:rsidR="000A41BA" w:rsidRPr="00B47608">
        <w:t>internazionale</w:t>
      </w:r>
      <w:r w:rsidR="0075304D" w:rsidRPr="00B47608">
        <w:t xml:space="preserve"> della propria impresa</w:t>
      </w:r>
      <w:r w:rsidR="007C6A94" w:rsidRPr="00B47608">
        <w:t xml:space="preserve">. </w:t>
      </w:r>
      <w:bookmarkEnd w:id="18"/>
      <w:r w:rsidR="00C5170F" w:rsidRPr="00B47608">
        <w:t>Analizzando il dato</w:t>
      </w:r>
      <w:r w:rsidR="005804F6" w:rsidRPr="00B47608">
        <w:t xml:space="preserve"> per macrosettore, </w:t>
      </w:r>
      <w:r w:rsidR="00DA2CB6" w:rsidRPr="00B47608">
        <w:t>le imprese appartenenti a</w:t>
      </w:r>
      <w:r w:rsidR="00864F64" w:rsidRPr="00B47608">
        <w:t>l gruppo</w:t>
      </w:r>
      <w:r w:rsidR="00DA2CB6" w:rsidRPr="00B47608">
        <w:t xml:space="preserve"> </w:t>
      </w:r>
      <w:r w:rsidR="00864F64" w:rsidRPr="00B47608">
        <w:t>“</w:t>
      </w:r>
      <w:r w:rsidR="00DA2CB6" w:rsidRPr="00B47608">
        <w:t>altri settori</w:t>
      </w:r>
      <w:r w:rsidR="00864F64" w:rsidRPr="00B47608">
        <w:t>”</w:t>
      </w:r>
      <w:r w:rsidR="00DA2CB6" w:rsidRPr="00B47608">
        <w:t xml:space="preserve"> </w:t>
      </w:r>
      <w:r w:rsidR="00C5170F" w:rsidRPr="00B47608">
        <w:t>attribuiscono un’importanza maggiore alla sostenibilità</w:t>
      </w:r>
      <w:r w:rsidR="00D00FFE" w:rsidRPr="00B47608">
        <w:t xml:space="preserve"> rispetto </w:t>
      </w:r>
      <w:r w:rsidR="00673D86" w:rsidRPr="00B47608">
        <w:t xml:space="preserve">a quelle della </w:t>
      </w:r>
      <w:r w:rsidR="00D00FFE" w:rsidRPr="00B47608">
        <w:t>metalmeccanic</w:t>
      </w:r>
      <w:r w:rsidR="00673D86" w:rsidRPr="00B47608">
        <w:t>a</w:t>
      </w:r>
      <w:r w:rsidR="002D38F2" w:rsidRPr="00B47608">
        <w:t>: il 27,5% delle imprese appartenenti ad altri settori considera “molto importante” la sostenibilità</w:t>
      </w:r>
      <w:r w:rsidR="00A30D7B" w:rsidRPr="00B47608">
        <w:t xml:space="preserve"> per il successo dell’espansione internazionale</w:t>
      </w:r>
      <w:r w:rsidR="00EF3EF9" w:rsidRPr="00B47608">
        <w:t>, a differenza del</w:t>
      </w:r>
      <w:r w:rsidR="00A30D7B" w:rsidRPr="00B47608">
        <w:t xml:space="preserve"> 21,2% delle imprese metalmeccaniche</w:t>
      </w:r>
      <w:r w:rsidR="00673D86" w:rsidRPr="00B47608">
        <w:t>.</w:t>
      </w:r>
      <w:r w:rsidR="00A2596D" w:rsidRPr="00B47608">
        <w:t xml:space="preserve"> </w:t>
      </w:r>
      <w:r w:rsidR="005F0A6E" w:rsidRPr="00B47608">
        <w:t>Differenziando in base alla classe dimensionale</w:t>
      </w:r>
      <w:r w:rsidR="00383028" w:rsidRPr="00B47608">
        <w:t xml:space="preserve">, </w:t>
      </w:r>
      <w:r w:rsidR="005F0A6E" w:rsidRPr="00B47608">
        <w:t xml:space="preserve">si </w:t>
      </w:r>
      <w:r w:rsidR="00B67FE0" w:rsidRPr="00B47608">
        <w:t>rileva</w:t>
      </w:r>
      <w:r w:rsidR="005F0A6E" w:rsidRPr="00B47608">
        <w:t xml:space="preserve"> che </w:t>
      </w:r>
      <w:r w:rsidR="00A340EA" w:rsidRPr="00B47608">
        <w:t>il 31,8% del</w:t>
      </w:r>
      <w:r w:rsidR="00162EDB" w:rsidRPr="00B47608">
        <w:t>le</w:t>
      </w:r>
      <w:r w:rsidR="005F0A6E" w:rsidRPr="00B47608">
        <w:t xml:space="preserve"> imprese di </w:t>
      </w:r>
      <w:r w:rsidR="00383028" w:rsidRPr="00B47608">
        <w:t>grandi</w:t>
      </w:r>
      <w:r w:rsidR="005F0A6E" w:rsidRPr="00B47608">
        <w:t xml:space="preserve"> dimensioni </w:t>
      </w:r>
      <w:r w:rsidR="00383028" w:rsidRPr="00B47608">
        <w:t xml:space="preserve">considera la sostenibilità </w:t>
      </w:r>
      <w:r w:rsidR="00CB1407" w:rsidRPr="00B47608">
        <w:t>un</w:t>
      </w:r>
      <w:r w:rsidR="00673D86" w:rsidRPr="00B47608">
        <w:t xml:space="preserve"> elemento </w:t>
      </w:r>
      <w:r w:rsidR="00383028" w:rsidRPr="00B47608">
        <w:t xml:space="preserve">molto importante </w:t>
      </w:r>
      <w:r w:rsidR="00331813" w:rsidRPr="00B47608">
        <w:t>per il successo dell’espansione internazionale</w:t>
      </w:r>
      <w:r w:rsidR="00A340EA" w:rsidRPr="00B47608">
        <w:t xml:space="preserve">, </w:t>
      </w:r>
      <w:r w:rsidR="00CB1407" w:rsidRPr="00B47608">
        <w:t>a fronte del</w:t>
      </w:r>
      <w:r w:rsidR="00A340EA" w:rsidRPr="00B47608">
        <w:t xml:space="preserve"> 21% delle imprese di piccole dimensioni. Questo risultato sottolinea </w:t>
      </w:r>
      <w:r w:rsidR="00D00CCE" w:rsidRPr="00B47608">
        <w:t>come</w:t>
      </w:r>
      <w:r w:rsidR="00A340EA" w:rsidRPr="00B47608">
        <w:t xml:space="preserve"> </w:t>
      </w:r>
      <w:r w:rsidR="00813094" w:rsidRPr="00B47608">
        <w:t xml:space="preserve">le imprese </w:t>
      </w:r>
      <w:r w:rsidR="00D00CCE" w:rsidRPr="00B47608">
        <w:t>di maggiori dimensioni attribuiscano</w:t>
      </w:r>
      <w:r w:rsidR="00813094" w:rsidRPr="00B47608">
        <w:t xml:space="preserve"> un </w:t>
      </w:r>
      <w:r w:rsidR="00D00CCE" w:rsidRPr="00B47608">
        <w:t>valore maggiore</w:t>
      </w:r>
      <w:r w:rsidR="00813094" w:rsidRPr="00B47608">
        <w:t xml:space="preserve"> alla sostenibilità rispetto </w:t>
      </w:r>
      <w:r w:rsidR="00D00CCE" w:rsidRPr="00B47608">
        <w:t>al</w:t>
      </w:r>
      <w:r w:rsidR="000A781A" w:rsidRPr="00B47608">
        <w:t xml:space="preserve">le imprese </w:t>
      </w:r>
      <w:r w:rsidR="00DD0F2D" w:rsidRPr="00B47608">
        <w:t>di dimensioni minori</w:t>
      </w:r>
      <w:r w:rsidR="00D00CCE" w:rsidRPr="00B47608">
        <w:t>, considerandola come un fattore importante per il successo dell’espansione internazionale dell’impresa.</w:t>
      </w:r>
      <w:r w:rsidR="00BE7119" w:rsidRPr="00B47608">
        <w:t xml:space="preserve"> </w:t>
      </w:r>
      <w:r w:rsidR="00E2736D" w:rsidRPr="00B47608">
        <w:t xml:space="preserve">Si osserva infine che </w:t>
      </w:r>
      <w:r w:rsidR="00293E29" w:rsidRPr="00B47608">
        <w:t xml:space="preserve">le imprese </w:t>
      </w:r>
      <w:r w:rsidR="00D815DC" w:rsidRPr="00B47608">
        <w:t>con un’elevata intensità di esportazione</w:t>
      </w:r>
      <w:r w:rsidR="00293E29" w:rsidRPr="00B47608">
        <w:t xml:space="preserve"> </w:t>
      </w:r>
      <w:r w:rsidR="006F263C" w:rsidRPr="00B47608">
        <w:t>riconoscono</w:t>
      </w:r>
      <w:r w:rsidR="00ED62A9" w:rsidRPr="00B47608">
        <w:t xml:space="preserve"> un’importanza </w:t>
      </w:r>
      <w:r w:rsidR="00E559A3" w:rsidRPr="00B47608">
        <w:t>maggiore al</w:t>
      </w:r>
      <w:r w:rsidR="00ED62A9" w:rsidRPr="00B47608">
        <w:t xml:space="preserve">la </w:t>
      </w:r>
      <w:r w:rsidR="000A03B4" w:rsidRPr="00B47608">
        <w:t>sostenibilità</w:t>
      </w:r>
      <w:r w:rsidR="00ED62A9" w:rsidRPr="00B47608">
        <w:t xml:space="preserve"> </w:t>
      </w:r>
      <w:r w:rsidR="00E559A3" w:rsidRPr="00B47608">
        <w:t xml:space="preserve">rispetto a </w:t>
      </w:r>
      <w:r w:rsidR="00EC046E" w:rsidRPr="00B47608">
        <w:t>quelle che</w:t>
      </w:r>
      <w:r w:rsidR="00E559A3" w:rsidRPr="00B47608">
        <w:t xml:space="preserve"> esportano </w:t>
      </w:r>
      <w:r w:rsidR="006F263C" w:rsidRPr="00B47608">
        <w:t>poco</w:t>
      </w:r>
      <w:r w:rsidR="00E559A3" w:rsidRPr="00B47608">
        <w:t xml:space="preserve"> o che non e</w:t>
      </w:r>
      <w:r w:rsidR="00BC1694" w:rsidRPr="00B47608">
        <w:t>sportano</w:t>
      </w:r>
      <w:r w:rsidR="006F263C" w:rsidRPr="00B47608">
        <w:t xml:space="preserve"> affatto.</w:t>
      </w:r>
    </w:p>
    <w:p w14:paraId="00142F25" w14:textId="77777777" w:rsidR="003546BF" w:rsidRPr="0003327E" w:rsidRDefault="003546BF" w:rsidP="00ED2A57">
      <w:pPr>
        <w:spacing w:after="0"/>
        <w:rPr>
          <w:sz w:val="18"/>
          <w:szCs w:val="18"/>
        </w:rPr>
      </w:pPr>
    </w:p>
    <w:p w14:paraId="03DF9CBA" w14:textId="380B2314" w:rsidR="008D5434" w:rsidRPr="00B47608" w:rsidRDefault="00D53D0F" w:rsidP="00ED2A57">
      <w:pPr>
        <w:spacing w:after="0" w:line="240" w:lineRule="auto"/>
        <w:jc w:val="both"/>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 xml:space="preserve">Tab. </w:t>
      </w:r>
      <w:r w:rsidR="00DD0F2D" w:rsidRPr="00B47608">
        <w:rPr>
          <w:rFonts w:eastAsia="Times New Roman" w:cs="Calibri"/>
          <w:b/>
          <w:bCs/>
          <w:color w:val="000000"/>
          <w:kern w:val="0"/>
          <w:lang w:eastAsia="it-IT"/>
          <w14:ligatures w14:val="none"/>
        </w:rPr>
        <w:t>5.</w:t>
      </w:r>
      <w:r w:rsidRPr="00B47608">
        <w:rPr>
          <w:rFonts w:eastAsia="Times New Roman" w:cs="Calibri"/>
          <w:b/>
          <w:bCs/>
          <w:color w:val="000000"/>
          <w:kern w:val="0"/>
          <w:lang w:eastAsia="it-IT"/>
          <w14:ligatures w14:val="none"/>
        </w:rPr>
        <w:t>1</w:t>
      </w:r>
      <w:r w:rsidR="00DD0F2D" w:rsidRPr="00B47608">
        <w:rPr>
          <w:rFonts w:eastAsia="Times New Roman" w:cs="Calibri"/>
          <w:b/>
          <w:bCs/>
          <w:color w:val="000000"/>
          <w:kern w:val="0"/>
          <w:lang w:eastAsia="it-IT"/>
          <w14:ligatures w14:val="none"/>
        </w:rPr>
        <w:t xml:space="preserve"> </w:t>
      </w:r>
      <w:r w:rsidR="002446CF" w:rsidRPr="00B47608">
        <w:rPr>
          <w:rFonts w:eastAsia="Times New Roman" w:cs="Calibri"/>
          <w:b/>
          <w:bCs/>
          <w:color w:val="000000"/>
          <w:kern w:val="0"/>
          <w:lang w:eastAsia="it-IT"/>
          <w14:ligatures w14:val="none"/>
        </w:rPr>
        <w:t>Come valuta l'importanza della sostenibilità per il successo dell'espansione internazionale dell'impresa? Per macrosettore, dimensioni e intensità di esportazione</w:t>
      </w:r>
      <w:r w:rsidR="00231CA5" w:rsidRPr="00B47608">
        <w:rPr>
          <w:rFonts w:eastAsia="Times New Roman" w:cs="Calibri"/>
          <w:b/>
          <w:bCs/>
          <w:color w:val="000000"/>
          <w:kern w:val="0"/>
          <w:lang w:eastAsia="it-IT"/>
          <w14:ligatures w14:val="none"/>
        </w:rPr>
        <w:t xml:space="preserve"> (Val.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26"/>
        <w:gridCol w:w="1150"/>
        <w:gridCol w:w="1150"/>
        <w:gridCol w:w="1150"/>
        <w:gridCol w:w="1150"/>
        <w:gridCol w:w="1150"/>
        <w:gridCol w:w="1152"/>
      </w:tblGrid>
      <w:tr w:rsidR="00FF2F77" w:rsidRPr="00B47608" w14:paraId="5F0A722B" w14:textId="77777777" w:rsidTr="00731C6E">
        <w:trPr>
          <w:trHeight w:val="480"/>
        </w:trPr>
        <w:tc>
          <w:tcPr>
            <w:tcW w:w="1416" w:type="pct"/>
            <w:shd w:val="clear" w:color="auto" w:fill="auto"/>
            <w:noWrap/>
            <w:vAlign w:val="bottom"/>
            <w:hideMark/>
          </w:tcPr>
          <w:p w14:paraId="1626C8D0" w14:textId="77777777" w:rsidR="00FF2F77" w:rsidRPr="00B47608" w:rsidRDefault="00FF2F77" w:rsidP="00ED2A57">
            <w:pPr>
              <w:spacing w:after="0" w:line="240" w:lineRule="auto"/>
              <w:rPr>
                <w:rFonts w:eastAsia="Times New Roman" w:cs="Times New Roman"/>
                <w:kern w:val="0"/>
                <w:sz w:val="24"/>
                <w:szCs w:val="24"/>
                <w:lang w:eastAsia="it-IT"/>
                <w14:ligatures w14:val="none"/>
              </w:rPr>
            </w:pPr>
          </w:p>
        </w:tc>
        <w:tc>
          <w:tcPr>
            <w:tcW w:w="597" w:type="pct"/>
            <w:shd w:val="clear" w:color="auto" w:fill="auto"/>
            <w:vAlign w:val="center"/>
            <w:hideMark/>
          </w:tcPr>
          <w:p w14:paraId="68F293A0" w14:textId="77777777" w:rsidR="00FF2F77" w:rsidRPr="00B47608" w:rsidRDefault="00FF2F77" w:rsidP="00ED2A57">
            <w:pPr>
              <w:spacing w:after="0" w:line="240" w:lineRule="auto"/>
              <w:jc w:val="center"/>
              <w:rPr>
                <w:rFonts w:eastAsia="Times New Roman" w:cs="Arial"/>
                <w:b/>
                <w:bCs/>
                <w:color w:val="000000"/>
                <w:kern w:val="0"/>
                <w:sz w:val="16"/>
                <w:szCs w:val="16"/>
                <w:lang w:eastAsia="it-IT"/>
                <w14:ligatures w14:val="none"/>
              </w:rPr>
            </w:pPr>
            <w:r w:rsidRPr="00B47608">
              <w:rPr>
                <w:rFonts w:eastAsia="Times New Roman" w:cs="Arial"/>
                <w:b/>
                <w:bCs/>
                <w:color w:val="000000"/>
                <w:kern w:val="0"/>
                <w:sz w:val="16"/>
                <w:szCs w:val="16"/>
                <w:lang w:eastAsia="it-IT"/>
                <w14:ligatures w14:val="none"/>
              </w:rPr>
              <w:t>Molto importante</w:t>
            </w:r>
          </w:p>
        </w:tc>
        <w:tc>
          <w:tcPr>
            <w:tcW w:w="597" w:type="pct"/>
            <w:shd w:val="clear" w:color="auto" w:fill="auto"/>
            <w:vAlign w:val="center"/>
            <w:hideMark/>
          </w:tcPr>
          <w:p w14:paraId="3D164694" w14:textId="77777777" w:rsidR="00FF2F77" w:rsidRPr="00B47608" w:rsidRDefault="00FF2F77" w:rsidP="00ED2A57">
            <w:pPr>
              <w:spacing w:after="0" w:line="240" w:lineRule="auto"/>
              <w:jc w:val="center"/>
              <w:rPr>
                <w:rFonts w:eastAsia="Times New Roman" w:cs="Arial"/>
                <w:b/>
                <w:bCs/>
                <w:color w:val="000000"/>
                <w:kern w:val="0"/>
                <w:sz w:val="16"/>
                <w:szCs w:val="16"/>
                <w:lang w:eastAsia="it-IT"/>
                <w14:ligatures w14:val="none"/>
              </w:rPr>
            </w:pPr>
            <w:r w:rsidRPr="00B47608">
              <w:rPr>
                <w:rFonts w:eastAsia="Times New Roman" w:cs="Arial"/>
                <w:b/>
                <w:bCs/>
                <w:color w:val="000000"/>
                <w:kern w:val="0"/>
                <w:sz w:val="16"/>
                <w:szCs w:val="16"/>
                <w:lang w:eastAsia="it-IT"/>
                <w14:ligatures w14:val="none"/>
              </w:rPr>
              <w:t>Importante</w:t>
            </w:r>
          </w:p>
        </w:tc>
        <w:tc>
          <w:tcPr>
            <w:tcW w:w="597" w:type="pct"/>
            <w:shd w:val="clear" w:color="auto" w:fill="auto"/>
            <w:vAlign w:val="center"/>
            <w:hideMark/>
          </w:tcPr>
          <w:p w14:paraId="1A9E735C" w14:textId="77777777" w:rsidR="00FF2F77" w:rsidRPr="00B47608" w:rsidRDefault="00FF2F77" w:rsidP="00ED2A57">
            <w:pPr>
              <w:spacing w:after="0" w:line="240" w:lineRule="auto"/>
              <w:jc w:val="center"/>
              <w:rPr>
                <w:rFonts w:eastAsia="Times New Roman" w:cs="Arial"/>
                <w:b/>
                <w:bCs/>
                <w:color w:val="000000"/>
                <w:kern w:val="0"/>
                <w:sz w:val="16"/>
                <w:szCs w:val="16"/>
                <w:lang w:eastAsia="it-IT"/>
                <w14:ligatures w14:val="none"/>
              </w:rPr>
            </w:pPr>
            <w:r w:rsidRPr="00B47608">
              <w:rPr>
                <w:rFonts w:eastAsia="Times New Roman" w:cs="Arial"/>
                <w:b/>
                <w:bCs/>
                <w:color w:val="000000"/>
                <w:kern w:val="0"/>
                <w:sz w:val="16"/>
                <w:szCs w:val="16"/>
                <w:lang w:eastAsia="it-IT"/>
                <w14:ligatures w14:val="none"/>
              </w:rPr>
              <w:t>Poco importante</w:t>
            </w:r>
          </w:p>
        </w:tc>
        <w:tc>
          <w:tcPr>
            <w:tcW w:w="597" w:type="pct"/>
            <w:shd w:val="clear" w:color="auto" w:fill="auto"/>
            <w:vAlign w:val="center"/>
            <w:hideMark/>
          </w:tcPr>
          <w:p w14:paraId="4BBC50DC" w14:textId="77777777" w:rsidR="00FF2F77" w:rsidRPr="00B47608" w:rsidRDefault="00FF2F77" w:rsidP="00ED2A57">
            <w:pPr>
              <w:spacing w:after="0" w:line="240" w:lineRule="auto"/>
              <w:jc w:val="center"/>
              <w:rPr>
                <w:rFonts w:eastAsia="Times New Roman" w:cs="Arial"/>
                <w:b/>
                <w:bCs/>
                <w:color w:val="000000"/>
                <w:kern w:val="0"/>
                <w:sz w:val="16"/>
                <w:szCs w:val="16"/>
                <w:lang w:eastAsia="it-IT"/>
                <w14:ligatures w14:val="none"/>
              </w:rPr>
            </w:pPr>
            <w:r w:rsidRPr="00B47608">
              <w:rPr>
                <w:rFonts w:eastAsia="Times New Roman" w:cs="Arial"/>
                <w:b/>
                <w:bCs/>
                <w:color w:val="000000"/>
                <w:kern w:val="0"/>
                <w:sz w:val="16"/>
                <w:szCs w:val="16"/>
                <w:lang w:eastAsia="it-IT"/>
                <w14:ligatures w14:val="none"/>
              </w:rPr>
              <w:t>Non importante</w:t>
            </w:r>
          </w:p>
        </w:tc>
        <w:tc>
          <w:tcPr>
            <w:tcW w:w="597" w:type="pct"/>
            <w:shd w:val="clear" w:color="auto" w:fill="auto"/>
            <w:vAlign w:val="center"/>
            <w:hideMark/>
          </w:tcPr>
          <w:p w14:paraId="1276E9DB" w14:textId="77777777" w:rsidR="00FF2F77" w:rsidRPr="00B47608" w:rsidRDefault="00FF2F77" w:rsidP="00ED2A57">
            <w:pPr>
              <w:spacing w:after="0" w:line="240" w:lineRule="auto"/>
              <w:jc w:val="center"/>
              <w:rPr>
                <w:rFonts w:eastAsia="Times New Roman" w:cs="Arial"/>
                <w:b/>
                <w:bCs/>
                <w:color w:val="000000"/>
                <w:kern w:val="0"/>
                <w:sz w:val="16"/>
                <w:szCs w:val="16"/>
                <w:lang w:eastAsia="it-IT"/>
                <w14:ligatures w14:val="none"/>
              </w:rPr>
            </w:pPr>
            <w:proofErr w:type="spellStart"/>
            <w:r w:rsidRPr="00B47608">
              <w:rPr>
                <w:rFonts w:eastAsia="Times New Roman" w:cs="Arial"/>
                <w:b/>
                <w:bCs/>
                <w:color w:val="000000"/>
                <w:kern w:val="0"/>
                <w:sz w:val="16"/>
                <w:szCs w:val="16"/>
                <w:lang w:eastAsia="it-IT"/>
                <w14:ligatures w14:val="none"/>
              </w:rPr>
              <w:t>n.r</w:t>
            </w:r>
            <w:proofErr w:type="spellEnd"/>
            <w:r w:rsidRPr="00B47608">
              <w:rPr>
                <w:rFonts w:eastAsia="Times New Roman" w:cs="Arial"/>
                <w:b/>
                <w:bCs/>
                <w:color w:val="000000"/>
                <w:kern w:val="0"/>
                <w:sz w:val="16"/>
                <w:szCs w:val="16"/>
                <w:lang w:eastAsia="it-IT"/>
                <w14:ligatures w14:val="none"/>
              </w:rPr>
              <w:t>.</w:t>
            </w:r>
          </w:p>
        </w:tc>
        <w:tc>
          <w:tcPr>
            <w:tcW w:w="598" w:type="pct"/>
            <w:shd w:val="clear" w:color="auto" w:fill="auto"/>
            <w:vAlign w:val="center"/>
            <w:hideMark/>
          </w:tcPr>
          <w:p w14:paraId="76F6398B" w14:textId="77777777" w:rsidR="00FF2F77" w:rsidRPr="00B47608" w:rsidRDefault="00FF2F77" w:rsidP="00ED2A57">
            <w:pPr>
              <w:spacing w:after="0" w:line="240" w:lineRule="auto"/>
              <w:jc w:val="center"/>
              <w:rPr>
                <w:rFonts w:eastAsia="Times New Roman" w:cs="Arial"/>
                <w:b/>
                <w:bCs/>
                <w:color w:val="000000"/>
                <w:kern w:val="0"/>
                <w:sz w:val="16"/>
                <w:szCs w:val="16"/>
                <w:lang w:eastAsia="it-IT"/>
                <w14:ligatures w14:val="none"/>
              </w:rPr>
            </w:pPr>
            <w:r w:rsidRPr="00B47608">
              <w:rPr>
                <w:rFonts w:eastAsia="Times New Roman" w:cs="Arial"/>
                <w:b/>
                <w:bCs/>
                <w:color w:val="000000"/>
                <w:kern w:val="0"/>
                <w:sz w:val="16"/>
                <w:szCs w:val="16"/>
                <w:lang w:eastAsia="it-IT"/>
                <w14:ligatures w14:val="none"/>
              </w:rPr>
              <w:t>Tot.</w:t>
            </w:r>
          </w:p>
        </w:tc>
      </w:tr>
      <w:tr w:rsidR="00FF2F77" w:rsidRPr="00B47608" w14:paraId="0D333669" w14:textId="77777777" w:rsidTr="00731C6E">
        <w:trPr>
          <w:trHeight w:val="288"/>
        </w:trPr>
        <w:tc>
          <w:tcPr>
            <w:tcW w:w="1416" w:type="pct"/>
            <w:shd w:val="clear" w:color="auto" w:fill="auto"/>
            <w:noWrap/>
            <w:vAlign w:val="bottom"/>
            <w:hideMark/>
          </w:tcPr>
          <w:p w14:paraId="2ECAD262" w14:textId="77777777" w:rsidR="00FF2F77" w:rsidRPr="00B47608" w:rsidRDefault="00FF2F77" w:rsidP="00ED2A57">
            <w:pPr>
              <w:spacing w:after="0" w:line="240" w:lineRule="auto"/>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Tutti</w:t>
            </w:r>
          </w:p>
        </w:tc>
        <w:tc>
          <w:tcPr>
            <w:tcW w:w="597" w:type="pct"/>
            <w:shd w:val="clear" w:color="auto" w:fill="auto"/>
            <w:noWrap/>
            <w:vAlign w:val="bottom"/>
            <w:hideMark/>
          </w:tcPr>
          <w:p w14:paraId="35F5CF9F" w14:textId="5E96898A" w:rsidR="00FF2F77" w:rsidRPr="00B47608" w:rsidRDefault="00FF2F77" w:rsidP="00731C6E">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24,9</w:t>
            </w:r>
          </w:p>
        </w:tc>
        <w:tc>
          <w:tcPr>
            <w:tcW w:w="597" w:type="pct"/>
            <w:shd w:val="clear" w:color="auto" w:fill="auto"/>
            <w:noWrap/>
            <w:vAlign w:val="bottom"/>
            <w:hideMark/>
          </w:tcPr>
          <w:p w14:paraId="322ACE52" w14:textId="50275BCF" w:rsidR="00FF2F77" w:rsidRPr="00B47608" w:rsidRDefault="00FF2F77" w:rsidP="00731C6E">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53,8</w:t>
            </w:r>
          </w:p>
        </w:tc>
        <w:tc>
          <w:tcPr>
            <w:tcW w:w="597" w:type="pct"/>
            <w:shd w:val="clear" w:color="auto" w:fill="auto"/>
            <w:noWrap/>
            <w:vAlign w:val="bottom"/>
            <w:hideMark/>
          </w:tcPr>
          <w:p w14:paraId="2F39E52D" w14:textId="10F9E487" w:rsidR="00FF2F77" w:rsidRPr="00B47608" w:rsidRDefault="00FF2F77" w:rsidP="00731C6E">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14,6</w:t>
            </w:r>
          </w:p>
        </w:tc>
        <w:tc>
          <w:tcPr>
            <w:tcW w:w="597" w:type="pct"/>
            <w:shd w:val="clear" w:color="auto" w:fill="auto"/>
            <w:noWrap/>
            <w:vAlign w:val="bottom"/>
            <w:hideMark/>
          </w:tcPr>
          <w:p w14:paraId="5B19AA77" w14:textId="5DC0B7BA" w:rsidR="00FF2F77" w:rsidRPr="00B47608" w:rsidRDefault="00FF2F77" w:rsidP="00731C6E">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3,1</w:t>
            </w:r>
          </w:p>
        </w:tc>
        <w:tc>
          <w:tcPr>
            <w:tcW w:w="597" w:type="pct"/>
            <w:shd w:val="clear" w:color="auto" w:fill="auto"/>
            <w:noWrap/>
            <w:vAlign w:val="bottom"/>
            <w:hideMark/>
          </w:tcPr>
          <w:p w14:paraId="02AD7D23" w14:textId="45554C9C" w:rsidR="00FF2F77" w:rsidRPr="00B47608" w:rsidRDefault="00FF2F77" w:rsidP="00731C6E">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3,6</w:t>
            </w:r>
          </w:p>
        </w:tc>
        <w:tc>
          <w:tcPr>
            <w:tcW w:w="598" w:type="pct"/>
            <w:shd w:val="clear" w:color="auto" w:fill="auto"/>
            <w:noWrap/>
            <w:vAlign w:val="bottom"/>
            <w:hideMark/>
          </w:tcPr>
          <w:p w14:paraId="54A65C63" w14:textId="1D4F4C02" w:rsidR="00FF2F77" w:rsidRPr="00B47608" w:rsidRDefault="00FF2F77" w:rsidP="00731C6E">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100</w:t>
            </w:r>
          </w:p>
        </w:tc>
      </w:tr>
      <w:tr w:rsidR="00FF2F77" w:rsidRPr="00B47608" w14:paraId="7EF965D7" w14:textId="77777777" w:rsidTr="00731C6E">
        <w:trPr>
          <w:trHeight w:val="288"/>
        </w:trPr>
        <w:tc>
          <w:tcPr>
            <w:tcW w:w="1416" w:type="pct"/>
            <w:shd w:val="clear" w:color="auto" w:fill="auto"/>
            <w:noWrap/>
            <w:vAlign w:val="bottom"/>
            <w:hideMark/>
          </w:tcPr>
          <w:p w14:paraId="00BB089B" w14:textId="77777777" w:rsidR="00FF2F77" w:rsidRPr="00B47608" w:rsidRDefault="00FF2F77" w:rsidP="00ED2A57">
            <w:pPr>
              <w:spacing w:after="0" w:line="240" w:lineRule="auto"/>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Macrosettore</w:t>
            </w:r>
          </w:p>
        </w:tc>
        <w:tc>
          <w:tcPr>
            <w:tcW w:w="597" w:type="pct"/>
            <w:shd w:val="clear" w:color="auto" w:fill="auto"/>
            <w:noWrap/>
            <w:vAlign w:val="bottom"/>
            <w:hideMark/>
          </w:tcPr>
          <w:p w14:paraId="2245C71A" w14:textId="77777777" w:rsidR="00FF2F77" w:rsidRPr="00B47608" w:rsidRDefault="00FF2F77" w:rsidP="00731C6E">
            <w:pPr>
              <w:spacing w:after="0" w:line="240" w:lineRule="auto"/>
              <w:jc w:val="center"/>
              <w:rPr>
                <w:rFonts w:eastAsia="Times New Roman" w:cs="Calibri"/>
                <w:b/>
                <w:bCs/>
                <w:color w:val="000000"/>
                <w:kern w:val="0"/>
                <w:lang w:eastAsia="it-IT"/>
                <w14:ligatures w14:val="none"/>
              </w:rPr>
            </w:pPr>
          </w:p>
        </w:tc>
        <w:tc>
          <w:tcPr>
            <w:tcW w:w="597" w:type="pct"/>
            <w:shd w:val="clear" w:color="auto" w:fill="auto"/>
            <w:noWrap/>
            <w:vAlign w:val="bottom"/>
            <w:hideMark/>
          </w:tcPr>
          <w:p w14:paraId="69F3EB0A" w14:textId="77777777" w:rsidR="00FF2F77" w:rsidRPr="00B47608" w:rsidRDefault="00FF2F77" w:rsidP="00731C6E">
            <w:pPr>
              <w:spacing w:after="0" w:line="240" w:lineRule="auto"/>
              <w:jc w:val="center"/>
              <w:rPr>
                <w:rFonts w:eastAsia="Times New Roman" w:cs="Times New Roman"/>
                <w:kern w:val="0"/>
                <w:sz w:val="20"/>
                <w:szCs w:val="20"/>
                <w:lang w:eastAsia="it-IT"/>
                <w14:ligatures w14:val="none"/>
              </w:rPr>
            </w:pPr>
          </w:p>
        </w:tc>
        <w:tc>
          <w:tcPr>
            <w:tcW w:w="597" w:type="pct"/>
            <w:shd w:val="clear" w:color="auto" w:fill="auto"/>
            <w:noWrap/>
            <w:vAlign w:val="bottom"/>
            <w:hideMark/>
          </w:tcPr>
          <w:p w14:paraId="4D8CC59F" w14:textId="77777777" w:rsidR="00FF2F77" w:rsidRPr="00B47608" w:rsidRDefault="00FF2F77" w:rsidP="00731C6E">
            <w:pPr>
              <w:spacing w:after="0" w:line="240" w:lineRule="auto"/>
              <w:jc w:val="center"/>
              <w:rPr>
                <w:rFonts w:eastAsia="Times New Roman" w:cs="Times New Roman"/>
                <w:kern w:val="0"/>
                <w:sz w:val="20"/>
                <w:szCs w:val="20"/>
                <w:lang w:eastAsia="it-IT"/>
                <w14:ligatures w14:val="none"/>
              </w:rPr>
            </w:pPr>
          </w:p>
        </w:tc>
        <w:tc>
          <w:tcPr>
            <w:tcW w:w="597" w:type="pct"/>
            <w:shd w:val="clear" w:color="auto" w:fill="auto"/>
            <w:noWrap/>
            <w:vAlign w:val="bottom"/>
            <w:hideMark/>
          </w:tcPr>
          <w:p w14:paraId="2C8644F9" w14:textId="77777777" w:rsidR="00FF2F77" w:rsidRPr="00B47608" w:rsidRDefault="00FF2F77" w:rsidP="00731C6E">
            <w:pPr>
              <w:spacing w:after="0" w:line="240" w:lineRule="auto"/>
              <w:jc w:val="center"/>
              <w:rPr>
                <w:rFonts w:eastAsia="Times New Roman" w:cs="Times New Roman"/>
                <w:kern w:val="0"/>
                <w:sz w:val="20"/>
                <w:szCs w:val="20"/>
                <w:lang w:eastAsia="it-IT"/>
                <w14:ligatures w14:val="none"/>
              </w:rPr>
            </w:pPr>
          </w:p>
        </w:tc>
        <w:tc>
          <w:tcPr>
            <w:tcW w:w="597" w:type="pct"/>
            <w:shd w:val="clear" w:color="auto" w:fill="auto"/>
            <w:noWrap/>
            <w:vAlign w:val="bottom"/>
            <w:hideMark/>
          </w:tcPr>
          <w:p w14:paraId="3610C0A0" w14:textId="77777777" w:rsidR="00FF2F77" w:rsidRPr="00B47608" w:rsidRDefault="00FF2F77" w:rsidP="00731C6E">
            <w:pPr>
              <w:spacing w:after="0" w:line="240" w:lineRule="auto"/>
              <w:jc w:val="center"/>
              <w:rPr>
                <w:rFonts w:eastAsia="Times New Roman" w:cs="Times New Roman"/>
                <w:kern w:val="0"/>
                <w:sz w:val="20"/>
                <w:szCs w:val="20"/>
                <w:lang w:eastAsia="it-IT"/>
                <w14:ligatures w14:val="none"/>
              </w:rPr>
            </w:pPr>
          </w:p>
        </w:tc>
        <w:tc>
          <w:tcPr>
            <w:tcW w:w="598" w:type="pct"/>
            <w:shd w:val="clear" w:color="auto" w:fill="auto"/>
            <w:noWrap/>
            <w:vAlign w:val="bottom"/>
            <w:hideMark/>
          </w:tcPr>
          <w:p w14:paraId="3BBA8E7F" w14:textId="77777777" w:rsidR="00FF2F77" w:rsidRPr="00B47608" w:rsidRDefault="00FF2F77" w:rsidP="00731C6E">
            <w:pPr>
              <w:spacing w:after="0" w:line="240" w:lineRule="auto"/>
              <w:jc w:val="center"/>
              <w:rPr>
                <w:rFonts w:eastAsia="Times New Roman" w:cs="Times New Roman"/>
                <w:kern w:val="0"/>
                <w:sz w:val="20"/>
                <w:szCs w:val="20"/>
                <w:lang w:eastAsia="it-IT"/>
                <w14:ligatures w14:val="none"/>
              </w:rPr>
            </w:pPr>
          </w:p>
        </w:tc>
      </w:tr>
      <w:tr w:rsidR="00FF2F77" w:rsidRPr="00B47608" w14:paraId="3A42EDBA" w14:textId="77777777" w:rsidTr="00731C6E">
        <w:trPr>
          <w:trHeight w:val="288"/>
        </w:trPr>
        <w:tc>
          <w:tcPr>
            <w:tcW w:w="1416" w:type="pct"/>
            <w:shd w:val="clear" w:color="auto" w:fill="auto"/>
            <w:noWrap/>
            <w:vAlign w:val="bottom"/>
            <w:hideMark/>
          </w:tcPr>
          <w:p w14:paraId="40C4E2CA" w14:textId="77777777" w:rsidR="00FF2F77" w:rsidRPr="00B47608" w:rsidRDefault="00FF2F77"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Altri settori</w:t>
            </w:r>
          </w:p>
        </w:tc>
        <w:tc>
          <w:tcPr>
            <w:tcW w:w="597" w:type="pct"/>
            <w:shd w:val="clear" w:color="auto" w:fill="auto"/>
            <w:noWrap/>
            <w:vAlign w:val="bottom"/>
            <w:hideMark/>
          </w:tcPr>
          <w:p w14:paraId="5C3D389F" w14:textId="779AD2FF" w:rsidR="00FF2F77" w:rsidRPr="00B47608" w:rsidRDefault="00FF2F77" w:rsidP="00731C6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27,5</w:t>
            </w:r>
          </w:p>
        </w:tc>
        <w:tc>
          <w:tcPr>
            <w:tcW w:w="597" w:type="pct"/>
            <w:shd w:val="clear" w:color="auto" w:fill="auto"/>
            <w:noWrap/>
            <w:vAlign w:val="bottom"/>
            <w:hideMark/>
          </w:tcPr>
          <w:p w14:paraId="33B2126A" w14:textId="099D7B26" w:rsidR="00FF2F77" w:rsidRPr="00B47608" w:rsidRDefault="00FF2F77" w:rsidP="00731C6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53,4</w:t>
            </w:r>
          </w:p>
        </w:tc>
        <w:tc>
          <w:tcPr>
            <w:tcW w:w="597" w:type="pct"/>
            <w:shd w:val="clear" w:color="auto" w:fill="auto"/>
            <w:noWrap/>
            <w:vAlign w:val="bottom"/>
            <w:hideMark/>
          </w:tcPr>
          <w:p w14:paraId="51794080" w14:textId="798A13AE" w:rsidR="00FF2F77" w:rsidRPr="00B47608" w:rsidRDefault="00FF2F77" w:rsidP="00731C6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12,8</w:t>
            </w:r>
          </w:p>
        </w:tc>
        <w:tc>
          <w:tcPr>
            <w:tcW w:w="597" w:type="pct"/>
            <w:shd w:val="clear" w:color="auto" w:fill="auto"/>
            <w:noWrap/>
            <w:vAlign w:val="bottom"/>
            <w:hideMark/>
          </w:tcPr>
          <w:p w14:paraId="33AC6018" w14:textId="4121E0DD" w:rsidR="00FF2F77" w:rsidRPr="00B47608" w:rsidRDefault="00FF2F77" w:rsidP="00731C6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2,9</w:t>
            </w:r>
          </w:p>
        </w:tc>
        <w:tc>
          <w:tcPr>
            <w:tcW w:w="597" w:type="pct"/>
            <w:shd w:val="clear" w:color="auto" w:fill="auto"/>
            <w:noWrap/>
            <w:vAlign w:val="bottom"/>
            <w:hideMark/>
          </w:tcPr>
          <w:p w14:paraId="76EF3A47" w14:textId="4BBC526E" w:rsidR="00FF2F77" w:rsidRPr="00B47608" w:rsidRDefault="00FF2F77" w:rsidP="00731C6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3,4</w:t>
            </w:r>
          </w:p>
        </w:tc>
        <w:tc>
          <w:tcPr>
            <w:tcW w:w="598" w:type="pct"/>
            <w:shd w:val="clear" w:color="auto" w:fill="auto"/>
            <w:noWrap/>
            <w:vAlign w:val="bottom"/>
            <w:hideMark/>
          </w:tcPr>
          <w:p w14:paraId="529BB386" w14:textId="06239DA1" w:rsidR="00FF2F77" w:rsidRPr="00B47608" w:rsidRDefault="00FF2F77" w:rsidP="00731C6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w:t>
            </w:r>
          </w:p>
        </w:tc>
      </w:tr>
      <w:tr w:rsidR="00FF2F77" w:rsidRPr="00B47608" w14:paraId="21CF0A19" w14:textId="77777777" w:rsidTr="00731C6E">
        <w:trPr>
          <w:trHeight w:val="288"/>
        </w:trPr>
        <w:tc>
          <w:tcPr>
            <w:tcW w:w="1416" w:type="pct"/>
            <w:shd w:val="clear" w:color="auto" w:fill="auto"/>
            <w:noWrap/>
            <w:vAlign w:val="bottom"/>
            <w:hideMark/>
          </w:tcPr>
          <w:p w14:paraId="34A6CE70" w14:textId="77777777" w:rsidR="00FF2F77" w:rsidRPr="00B47608" w:rsidRDefault="00FF2F77"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Metalmeccanica</w:t>
            </w:r>
          </w:p>
        </w:tc>
        <w:tc>
          <w:tcPr>
            <w:tcW w:w="597" w:type="pct"/>
            <w:shd w:val="clear" w:color="auto" w:fill="auto"/>
            <w:noWrap/>
            <w:vAlign w:val="bottom"/>
            <w:hideMark/>
          </w:tcPr>
          <w:p w14:paraId="7E4A7EAB" w14:textId="7CBDEE4E" w:rsidR="00FF2F77" w:rsidRPr="00B47608" w:rsidRDefault="00FF2F77" w:rsidP="00731C6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21,2</w:t>
            </w:r>
          </w:p>
        </w:tc>
        <w:tc>
          <w:tcPr>
            <w:tcW w:w="597" w:type="pct"/>
            <w:shd w:val="clear" w:color="auto" w:fill="auto"/>
            <w:noWrap/>
            <w:vAlign w:val="bottom"/>
            <w:hideMark/>
          </w:tcPr>
          <w:p w14:paraId="0AEA5A1D" w14:textId="1D6C24D1" w:rsidR="00FF2F77" w:rsidRPr="00B47608" w:rsidRDefault="00FF2F77" w:rsidP="00731C6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54,4</w:t>
            </w:r>
          </w:p>
        </w:tc>
        <w:tc>
          <w:tcPr>
            <w:tcW w:w="597" w:type="pct"/>
            <w:shd w:val="clear" w:color="auto" w:fill="auto"/>
            <w:noWrap/>
            <w:vAlign w:val="bottom"/>
            <w:hideMark/>
          </w:tcPr>
          <w:p w14:paraId="5B8FC4E7" w14:textId="58CD30C7" w:rsidR="00FF2F77" w:rsidRPr="00B47608" w:rsidRDefault="00FF2F77" w:rsidP="00731C6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17,2</w:t>
            </w:r>
          </w:p>
        </w:tc>
        <w:tc>
          <w:tcPr>
            <w:tcW w:w="597" w:type="pct"/>
            <w:shd w:val="clear" w:color="auto" w:fill="auto"/>
            <w:noWrap/>
            <w:vAlign w:val="bottom"/>
            <w:hideMark/>
          </w:tcPr>
          <w:p w14:paraId="3581BEDD" w14:textId="52D52DBD" w:rsidR="00FF2F77" w:rsidRPr="00B47608" w:rsidRDefault="00FF2F77" w:rsidP="00731C6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3,3</w:t>
            </w:r>
          </w:p>
        </w:tc>
        <w:tc>
          <w:tcPr>
            <w:tcW w:w="597" w:type="pct"/>
            <w:shd w:val="clear" w:color="auto" w:fill="auto"/>
            <w:noWrap/>
            <w:vAlign w:val="bottom"/>
            <w:hideMark/>
          </w:tcPr>
          <w:p w14:paraId="4D84022B" w14:textId="574897A1" w:rsidR="00FF2F77" w:rsidRPr="00B47608" w:rsidRDefault="00FF2F77" w:rsidP="00731C6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3,9</w:t>
            </w:r>
          </w:p>
        </w:tc>
        <w:tc>
          <w:tcPr>
            <w:tcW w:w="598" w:type="pct"/>
            <w:shd w:val="clear" w:color="auto" w:fill="auto"/>
            <w:noWrap/>
            <w:vAlign w:val="bottom"/>
            <w:hideMark/>
          </w:tcPr>
          <w:p w14:paraId="5C541C50" w14:textId="1F62E61C" w:rsidR="00FF2F77" w:rsidRPr="00B47608" w:rsidRDefault="00FF2F77" w:rsidP="00731C6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w:t>
            </w:r>
          </w:p>
        </w:tc>
      </w:tr>
      <w:tr w:rsidR="00FF2F77" w:rsidRPr="00B47608" w14:paraId="56635FF2" w14:textId="77777777" w:rsidTr="00731C6E">
        <w:trPr>
          <w:trHeight w:val="288"/>
        </w:trPr>
        <w:tc>
          <w:tcPr>
            <w:tcW w:w="1416" w:type="pct"/>
            <w:shd w:val="clear" w:color="auto" w:fill="auto"/>
            <w:noWrap/>
            <w:vAlign w:val="bottom"/>
            <w:hideMark/>
          </w:tcPr>
          <w:p w14:paraId="1EC31D2D" w14:textId="77777777" w:rsidR="00FF2F77" w:rsidRPr="00B47608" w:rsidRDefault="00FF2F77" w:rsidP="00ED2A57">
            <w:pPr>
              <w:spacing w:after="0" w:line="240" w:lineRule="auto"/>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Dimensioni</w:t>
            </w:r>
          </w:p>
        </w:tc>
        <w:tc>
          <w:tcPr>
            <w:tcW w:w="597" w:type="pct"/>
            <w:shd w:val="clear" w:color="auto" w:fill="auto"/>
            <w:noWrap/>
            <w:vAlign w:val="bottom"/>
            <w:hideMark/>
          </w:tcPr>
          <w:p w14:paraId="3E4314C0" w14:textId="77777777" w:rsidR="00FF2F77" w:rsidRPr="00B47608" w:rsidRDefault="00FF2F77" w:rsidP="00731C6E">
            <w:pPr>
              <w:spacing w:after="0" w:line="240" w:lineRule="auto"/>
              <w:jc w:val="center"/>
              <w:rPr>
                <w:rFonts w:eastAsia="Times New Roman" w:cs="Calibri"/>
                <w:b/>
                <w:bCs/>
                <w:color w:val="000000"/>
                <w:kern w:val="0"/>
                <w:lang w:eastAsia="it-IT"/>
                <w14:ligatures w14:val="none"/>
              </w:rPr>
            </w:pPr>
          </w:p>
        </w:tc>
        <w:tc>
          <w:tcPr>
            <w:tcW w:w="597" w:type="pct"/>
            <w:shd w:val="clear" w:color="auto" w:fill="auto"/>
            <w:noWrap/>
            <w:vAlign w:val="bottom"/>
            <w:hideMark/>
          </w:tcPr>
          <w:p w14:paraId="2E7FD594" w14:textId="77777777" w:rsidR="00FF2F77" w:rsidRPr="00B47608" w:rsidRDefault="00FF2F77" w:rsidP="00731C6E">
            <w:pPr>
              <w:spacing w:after="0" w:line="240" w:lineRule="auto"/>
              <w:jc w:val="center"/>
              <w:rPr>
                <w:rFonts w:eastAsia="Times New Roman" w:cs="Times New Roman"/>
                <w:kern w:val="0"/>
                <w:sz w:val="20"/>
                <w:szCs w:val="20"/>
                <w:lang w:eastAsia="it-IT"/>
                <w14:ligatures w14:val="none"/>
              </w:rPr>
            </w:pPr>
          </w:p>
        </w:tc>
        <w:tc>
          <w:tcPr>
            <w:tcW w:w="597" w:type="pct"/>
            <w:shd w:val="clear" w:color="auto" w:fill="auto"/>
            <w:noWrap/>
            <w:vAlign w:val="bottom"/>
            <w:hideMark/>
          </w:tcPr>
          <w:p w14:paraId="793161B5" w14:textId="77777777" w:rsidR="00FF2F77" w:rsidRPr="00B47608" w:rsidRDefault="00FF2F77" w:rsidP="00731C6E">
            <w:pPr>
              <w:spacing w:after="0" w:line="240" w:lineRule="auto"/>
              <w:jc w:val="center"/>
              <w:rPr>
                <w:rFonts w:eastAsia="Times New Roman" w:cs="Times New Roman"/>
                <w:kern w:val="0"/>
                <w:sz w:val="20"/>
                <w:szCs w:val="20"/>
                <w:lang w:eastAsia="it-IT"/>
                <w14:ligatures w14:val="none"/>
              </w:rPr>
            </w:pPr>
          </w:p>
        </w:tc>
        <w:tc>
          <w:tcPr>
            <w:tcW w:w="597" w:type="pct"/>
            <w:shd w:val="clear" w:color="auto" w:fill="auto"/>
            <w:noWrap/>
            <w:vAlign w:val="bottom"/>
            <w:hideMark/>
          </w:tcPr>
          <w:p w14:paraId="767E5FE0" w14:textId="77777777" w:rsidR="00FF2F77" w:rsidRPr="00B47608" w:rsidRDefault="00FF2F77" w:rsidP="00731C6E">
            <w:pPr>
              <w:spacing w:after="0" w:line="240" w:lineRule="auto"/>
              <w:jc w:val="center"/>
              <w:rPr>
                <w:rFonts w:eastAsia="Times New Roman" w:cs="Times New Roman"/>
                <w:kern w:val="0"/>
                <w:sz w:val="20"/>
                <w:szCs w:val="20"/>
                <w:lang w:eastAsia="it-IT"/>
                <w14:ligatures w14:val="none"/>
              </w:rPr>
            </w:pPr>
          </w:p>
        </w:tc>
        <w:tc>
          <w:tcPr>
            <w:tcW w:w="597" w:type="pct"/>
            <w:shd w:val="clear" w:color="auto" w:fill="auto"/>
            <w:noWrap/>
            <w:vAlign w:val="bottom"/>
            <w:hideMark/>
          </w:tcPr>
          <w:p w14:paraId="69310FC8" w14:textId="77777777" w:rsidR="00FF2F77" w:rsidRPr="00B47608" w:rsidRDefault="00FF2F77" w:rsidP="00731C6E">
            <w:pPr>
              <w:spacing w:after="0" w:line="240" w:lineRule="auto"/>
              <w:jc w:val="center"/>
              <w:rPr>
                <w:rFonts w:eastAsia="Times New Roman" w:cs="Times New Roman"/>
                <w:kern w:val="0"/>
                <w:sz w:val="20"/>
                <w:szCs w:val="20"/>
                <w:lang w:eastAsia="it-IT"/>
                <w14:ligatures w14:val="none"/>
              </w:rPr>
            </w:pPr>
          </w:p>
        </w:tc>
        <w:tc>
          <w:tcPr>
            <w:tcW w:w="598" w:type="pct"/>
            <w:shd w:val="clear" w:color="auto" w:fill="auto"/>
            <w:noWrap/>
            <w:vAlign w:val="bottom"/>
            <w:hideMark/>
          </w:tcPr>
          <w:p w14:paraId="1A374BCB" w14:textId="77777777" w:rsidR="00FF2F77" w:rsidRPr="00B47608" w:rsidRDefault="00FF2F77" w:rsidP="00731C6E">
            <w:pPr>
              <w:spacing w:after="0" w:line="240" w:lineRule="auto"/>
              <w:jc w:val="center"/>
              <w:rPr>
                <w:rFonts w:eastAsia="Times New Roman" w:cs="Times New Roman"/>
                <w:kern w:val="0"/>
                <w:sz w:val="20"/>
                <w:szCs w:val="20"/>
                <w:lang w:eastAsia="it-IT"/>
                <w14:ligatures w14:val="none"/>
              </w:rPr>
            </w:pPr>
          </w:p>
        </w:tc>
      </w:tr>
      <w:tr w:rsidR="00FF2F77" w:rsidRPr="00B47608" w14:paraId="61792D83" w14:textId="77777777" w:rsidTr="00731C6E">
        <w:trPr>
          <w:trHeight w:val="288"/>
        </w:trPr>
        <w:tc>
          <w:tcPr>
            <w:tcW w:w="1416" w:type="pct"/>
            <w:shd w:val="clear" w:color="auto" w:fill="auto"/>
            <w:noWrap/>
            <w:vAlign w:val="bottom"/>
            <w:hideMark/>
          </w:tcPr>
          <w:p w14:paraId="3D649F68" w14:textId="77777777" w:rsidR="00FF2F77" w:rsidRPr="00B47608" w:rsidRDefault="00FF2F77"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Meno di 50</w:t>
            </w:r>
          </w:p>
        </w:tc>
        <w:tc>
          <w:tcPr>
            <w:tcW w:w="597" w:type="pct"/>
            <w:shd w:val="clear" w:color="auto" w:fill="auto"/>
            <w:noWrap/>
            <w:vAlign w:val="bottom"/>
            <w:hideMark/>
          </w:tcPr>
          <w:p w14:paraId="5844201D" w14:textId="4164F7EA" w:rsidR="00FF2F77" w:rsidRPr="00B47608" w:rsidRDefault="00FF2F77" w:rsidP="00731C6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21,0</w:t>
            </w:r>
          </w:p>
        </w:tc>
        <w:tc>
          <w:tcPr>
            <w:tcW w:w="597" w:type="pct"/>
            <w:shd w:val="clear" w:color="auto" w:fill="auto"/>
            <w:noWrap/>
            <w:vAlign w:val="bottom"/>
            <w:hideMark/>
          </w:tcPr>
          <w:p w14:paraId="4890CF60" w14:textId="5987A82B" w:rsidR="00FF2F77" w:rsidRPr="00B47608" w:rsidRDefault="00FF2F77" w:rsidP="00731C6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55,6</w:t>
            </w:r>
          </w:p>
        </w:tc>
        <w:tc>
          <w:tcPr>
            <w:tcW w:w="597" w:type="pct"/>
            <w:shd w:val="clear" w:color="auto" w:fill="auto"/>
            <w:noWrap/>
            <w:vAlign w:val="bottom"/>
            <w:hideMark/>
          </w:tcPr>
          <w:p w14:paraId="767083B8" w14:textId="444B637F" w:rsidR="00FF2F77" w:rsidRPr="00B47608" w:rsidRDefault="00FF2F77" w:rsidP="00731C6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16,3</w:t>
            </w:r>
          </w:p>
        </w:tc>
        <w:tc>
          <w:tcPr>
            <w:tcW w:w="597" w:type="pct"/>
            <w:shd w:val="clear" w:color="auto" w:fill="auto"/>
            <w:noWrap/>
            <w:vAlign w:val="bottom"/>
            <w:hideMark/>
          </w:tcPr>
          <w:p w14:paraId="557A0E9F" w14:textId="1B34CBDE" w:rsidR="00FF2F77" w:rsidRPr="00B47608" w:rsidRDefault="00FF2F77" w:rsidP="00731C6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3,6</w:t>
            </w:r>
          </w:p>
        </w:tc>
        <w:tc>
          <w:tcPr>
            <w:tcW w:w="597" w:type="pct"/>
            <w:shd w:val="clear" w:color="auto" w:fill="auto"/>
            <w:noWrap/>
            <w:vAlign w:val="bottom"/>
            <w:hideMark/>
          </w:tcPr>
          <w:p w14:paraId="468FCF70" w14:textId="537DB720" w:rsidR="00FF2F77" w:rsidRPr="00B47608" w:rsidRDefault="00FF2F77" w:rsidP="00731C6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3,5</w:t>
            </w:r>
          </w:p>
        </w:tc>
        <w:tc>
          <w:tcPr>
            <w:tcW w:w="598" w:type="pct"/>
            <w:shd w:val="clear" w:color="auto" w:fill="auto"/>
            <w:noWrap/>
            <w:vAlign w:val="bottom"/>
            <w:hideMark/>
          </w:tcPr>
          <w:p w14:paraId="1615E830" w14:textId="302271A0" w:rsidR="00FF2F77" w:rsidRPr="00B47608" w:rsidRDefault="00FF2F77" w:rsidP="00731C6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w:t>
            </w:r>
          </w:p>
        </w:tc>
      </w:tr>
      <w:tr w:rsidR="00FF2F77" w:rsidRPr="00B47608" w14:paraId="2587596E" w14:textId="77777777" w:rsidTr="00731C6E">
        <w:trPr>
          <w:trHeight w:val="288"/>
        </w:trPr>
        <w:tc>
          <w:tcPr>
            <w:tcW w:w="1416" w:type="pct"/>
            <w:shd w:val="clear" w:color="auto" w:fill="auto"/>
            <w:noWrap/>
            <w:vAlign w:val="bottom"/>
            <w:hideMark/>
          </w:tcPr>
          <w:p w14:paraId="00D3DDA6" w14:textId="77777777" w:rsidR="00FF2F77" w:rsidRPr="00B47608" w:rsidRDefault="00FF2F77"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50 e più</w:t>
            </w:r>
          </w:p>
        </w:tc>
        <w:tc>
          <w:tcPr>
            <w:tcW w:w="597" w:type="pct"/>
            <w:shd w:val="clear" w:color="auto" w:fill="auto"/>
            <w:noWrap/>
            <w:vAlign w:val="bottom"/>
            <w:hideMark/>
          </w:tcPr>
          <w:p w14:paraId="5AEAE1B9" w14:textId="749BF4FF" w:rsidR="00FF2F77" w:rsidRPr="00B47608" w:rsidRDefault="00FF2F77" w:rsidP="00731C6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31,8</w:t>
            </w:r>
          </w:p>
        </w:tc>
        <w:tc>
          <w:tcPr>
            <w:tcW w:w="597" w:type="pct"/>
            <w:shd w:val="clear" w:color="auto" w:fill="auto"/>
            <w:noWrap/>
            <w:vAlign w:val="bottom"/>
            <w:hideMark/>
          </w:tcPr>
          <w:p w14:paraId="7FE26DCA" w14:textId="1E12CF3A" w:rsidR="00FF2F77" w:rsidRPr="00B47608" w:rsidRDefault="00FF2F77" w:rsidP="00731C6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50,6</w:t>
            </w:r>
          </w:p>
        </w:tc>
        <w:tc>
          <w:tcPr>
            <w:tcW w:w="597" w:type="pct"/>
            <w:shd w:val="clear" w:color="auto" w:fill="auto"/>
            <w:noWrap/>
            <w:vAlign w:val="bottom"/>
            <w:hideMark/>
          </w:tcPr>
          <w:p w14:paraId="2C9AE628" w14:textId="52A4AFD2" w:rsidR="00FF2F77" w:rsidRPr="00B47608" w:rsidRDefault="00FF2F77" w:rsidP="00731C6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11,6</w:t>
            </w:r>
          </w:p>
        </w:tc>
        <w:tc>
          <w:tcPr>
            <w:tcW w:w="597" w:type="pct"/>
            <w:shd w:val="clear" w:color="auto" w:fill="auto"/>
            <w:noWrap/>
            <w:vAlign w:val="bottom"/>
            <w:hideMark/>
          </w:tcPr>
          <w:p w14:paraId="4D7C451A" w14:textId="12F9FDA2" w:rsidR="00FF2F77" w:rsidRPr="00B47608" w:rsidRDefault="00FF2F77" w:rsidP="00731C6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2,2</w:t>
            </w:r>
          </w:p>
        </w:tc>
        <w:tc>
          <w:tcPr>
            <w:tcW w:w="597" w:type="pct"/>
            <w:shd w:val="clear" w:color="auto" w:fill="auto"/>
            <w:noWrap/>
            <w:vAlign w:val="bottom"/>
            <w:hideMark/>
          </w:tcPr>
          <w:p w14:paraId="3373D59B" w14:textId="1B83EA60" w:rsidR="00FF2F77" w:rsidRPr="00B47608" w:rsidRDefault="00FF2F77" w:rsidP="00731C6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3,8</w:t>
            </w:r>
          </w:p>
        </w:tc>
        <w:tc>
          <w:tcPr>
            <w:tcW w:w="598" w:type="pct"/>
            <w:shd w:val="clear" w:color="auto" w:fill="auto"/>
            <w:noWrap/>
            <w:vAlign w:val="bottom"/>
            <w:hideMark/>
          </w:tcPr>
          <w:p w14:paraId="7DD66901" w14:textId="346DDC78" w:rsidR="00FF2F77" w:rsidRPr="00B47608" w:rsidRDefault="00FF2F77" w:rsidP="00731C6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w:t>
            </w:r>
          </w:p>
        </w:tc>
      </w:tr>
      <w:tr w:rsidR="00FF2F77" w:rsidRPr="00B47608" w14:paraId="1F7472F5" w14:textId="77777777" w:rsidTr="00731C6E">
        <w:trPr>
          <w:trHeight w:val="288"/>
        </w:trPr>
        <w:tc>
          <w:tcPr>
            <w:tcW w:w="1416" w:type="pct"/>
            <w:shd w:val="clear" w:color="auto" w:fill="auto"/>
            <w:noWrap/>
            <w:vAlign w:val="bottom"/>
            <w:hideMark/>
          </w:tcPr>
          <w:p w14:paraId="547E936C" w14:textId="77777777" w:rsidR="00FF2F77" w:rsidRPr="00B47608" w:rsidRDefault="00FF2F77" w:rsidP="00ED2A57">
            <w:pPr>
              <w:spacing w:after="0" w:line="240" w:lineRule="auto"/>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Intensità di esportazione</w:t>
            </w:r>
          </w:p>
        </w:tc>
        <w:tc>
          <w:tcPr>
            <w:tcW w:w="597" w:type="pct"/>
            <w:shd w:val="clear" w:color="auto" w:fill="auto"/>
            <w:noWrap/>
            <w:vAlign w:val="bottom"/>
            <w:hideMark/>
          </w:tcPr>
          <w:p w14:paraId="16EA747F" w14:textId="77777777" w:rsidR="00FF2F77" w:rsidRPr="00B47608" w:rsidRDefault="00FF2F77" w:rsidP="00731C6E">
            <w:pPr>
              <w:spacing w:after="0" w:line="240" w:lineRule="auto"/>
              <w:jc w:val="center"/>
              <w:rPr>
                <w:rFonts w:eastAsia="Times New Roman" w:cs="Calibri"/>
                <w:b/>
                <w:bCs/>
                <w:color w:val="000000"/>
                <w:kern w:val="0"/>
                <w:lang w:eastAsia="it-IT"/>
                <w14:ligatures w14:val="none"/>
              </w:rPr>
            </w:pPr>
          </w:p>
        </w:tc>
        <w:tc>
          <w:tcPr>
            <w:tcW w:w="597" w:type="pct"/>
            <w:shd w:val="clear" w:color="auto" w:fill="auto"/>
            <w:noWrap/>
            <w:vAlign w:val="bottom"/>
            <w:hideMark/>
          </w:tcPr>
          <w:p w14:paraId="3B83F2F2" w14:textId="77777777" w:rsidR="00FF2F77" w:rsidRPr="00B47608" w:rsidRDefault="00FF2F77" w:rsidP="00731C6E">
            <w:pPr>
              <w:spacing w:after="0" w:line="240" w:lineRule="auto"/>
              <w:jc w:val="center"/>
              <w:rPr>
                <w:rFonts w:eastAsia="Times New Roman" w:cs="Times New Roman"/>
                <w:kern w:val="0"/>
                <w:sz w:val="20"/>
                <w:szCs w:val="20"/>
                <w:lang w:eastAsia="it-IT"/>
                <w14:ligatures w14:val="none"/>
              </w:rPr>
            </w:pPr>
          </w:p>
        </w:tc>
        <w:tc>
          <w:tcPr>
            <w:tcW w:w="597" w:type="pct"/>
            <w:shd w:val="clear" w:color="auto" w:fill="auto"/>
            <w:noWrap/>
            <w:vAlign w:val="bottom"/>
            <w:hideMark/>
          </w:tcPr>
          <w:p w14:paraId="500BFA57" w14:textId="77777777" w:rsidR="00FF2F77" w:rsidRPr="00B47608" w:rsidRDefault="00FF2F77" w:rsidP="00731C6E">
            <w:pPr>
              <w:spacing w:after="0" w:line="240" w:lineRule="auto"/>
              <w:jc w:val="center"/>
              <w:rPr>
                <w:rFonts w:eastAsia="Times New Roman" w:cs="Times New Roman"/>
                <w:kern w:val="0"/>
                <w:sz w:val="20"/>
                <w:szCs w:val="20"/>
                <w:lang w:eastAsia="it-IT"/>
                <w14:ligatures w14:val="none"/>
              </w:rPr>
            </w:pPr>
          </w:p>
        </w:tc>
        <w:tc>
          <w:tcPr>
            <w:tcW w:w="597" w:type="pct"/>
            <w:shd w:val="clear" w:color="auto" w:fill="auto"/>
            <w:noWrap/>
            <w:vAlign w:val="bottom"/>
            <w:hideMark/>
          </w:tcPr>
          <w:p w14:paraId="768FBFEE" w14:textId="77777777" w:rsidR="00FF2F77" w:rsidRPr="00B47608" w:rsidRDefault="00FF2F77" w:rsidP="00731C6E">
            <w:pPr>
              <w:spacing w:after="0" w:line="240" w:lineRule="auto"/>
              <w:jc w:val="center"/>
              <w:rPr>
                <w:rFonts w:eastAsia="Times New Roman" w:cs="Times New Roman"/>
                <w:kern w:val="0"/>
                <w:sz w:val="20"/>
                <w:szCs w:val="20"/>
                <w:lang w:eastAsia="it-IT"/>
                <w14:ligatures w14:val="none"/>
              </w:rPr>
            </w:pPr>
          </w:p>
        </w:tc>
        <w:tc>
          <w:tcPr>
            <w:tcW w:w="597" w:type="pct"/>
            <w:shd w:val="clear" w:color="auto" w:fill="auto"/>
            <w:noWrap/>
            <w:vAlign w:val="bottom"/>
            <w:hideMark/>
          </w:tcPr>
          <w:p w14:paraId="03C315FC" w14:textId="77777777" w:rsidR="00FF2F77" w:rsidRPr="00B47608" w:rsidRDefault="00FF2F77" w:rsidP="00731C6E">
            <w:pPr>
              <w:spacing w:after="0" w:line="240" w:lineRule="auto"/>
              <w:jc w:val="center"/>
              <w:rPr>
                <w:rFonts w:eastAsia="Times New Roman" w:cs="Times New Roman"/>
                <w:kern w:val="0"/>
                <w:sz w:val="20"/>
                <w:szCs w:val="20"/>
                <w:lang w:eastAsia="it-IT"/>
                <w14:ligatures w14:val="none"/>
              </w:rPr>
            </w:pPr>
          </w:p>
        </w:tc>
        <w:tc>
          <w:tcPr>
            <w:tcW w:w="598" w:type="pct"/>
            <w:shd w:val="clear" w:color="auto" w:fill="auto"/>
            <w:noWrap/>
            <w:vAlign w:val="bottom"/>
            <w:hideMark/>
          </w:tcPr>
          <w:p w14:paraId="6E2F1639" w14:textId="77777777" w:rsidR="00FF2F77" w:rsidRPr="00B47608" w:rsidRDefault="00FF2F77" w:rsidP="00731C6E">
            <w:pPr>
              <w:spacing w:after="0" w:line="240" w:lineRule="auto"/>
              <w:jc w:val="center"/>
              <w:rPr>
                <w:rFonts w:eastAsia="Times New Roman" w:cs="Times New Roman"/>
                <w:kern w:val="0"/>
                <w:sz w:val="20"/>
                <w:szCs w:val="20"/>
                <w:lang w:eastAsia="it-IT"/>
                <w14:ligatures w14:val="none"/>
              </w:rPr>
            </w:pPr>
          </w:p>
        </w:tc>
      </w:tr>
      <w:tr w:rsidR="00FF2F77" w:rsidRPr="00B47608" w14:paraId="0DAC8DDD" w14:textId="77777777" w:rsidTr="00731C6E">
        <w:trPr>
          <w:trHeight w:val="288"/>
        </w:trPr>
        <w:tc>
          <w:tcPr>
            <w:tcW w:w="1416" w:type="pct"/>
            <w:shd w:val="clear" w:color="auto" w:fill="auto"/>
            <w:noWrap/>
            <w:vAlign w:val="bottom"/>
            <w:hideMark/>
          </w:tcPr>
          <w:p w14:paraId="516AEA5C" w14:textId="77777777" w:rsidR="00FF2F77" w:rsidRPr="00B47608" w:rsidRDefault="00FF2F77"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Non esportatori</w:t>
            </w:r>
          </w:p>
        </w:tc>
        <w:tc>
          <w:tcPr>
            <w:tcW w:w="597" w:type="pct"/>
            <w:shd w:val="clear" w:color="auto" w:fill="auto"/>
            <w:noWrap/>
            <w:vAlign w:val="bottom"/>
            <w:hideMark/>
          </w:tcPr>
          <w:p w14:paraId="0DAD9E98" w14:textId="0CBDEF8E" w:rsidR="00FF2F77" w:rsidRPr="00B47608" w:rsidRDefault="00FF2F77" w:rsidP="00731C6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16,4</w:t>
            </w:r>
          </w:p>
        </w:tc>
        <w:tc>
          <w:tcPr>
            <w:tcW w:w="597" w:type="pct"/>
            <w:shd w:val="clear" w:color="auto" w:fill="auto"/>
            <w:noWrap/>
            <w:vAlign w:val="bottom"/>
            <w:hideMark/>
          </w:tcPr>
          <w:p w14:paraId="58A9F885" w14:textId="6D9BBF4C" w:rsidR="00FF2F77" w:rsidRPr="00B47608" w:rsidRDefault="00FF2F77" w:rsidP="00731C6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48,4</w:t>
            </w:r>
          </w:p>
        </w:tc>
        <w:tc>
          <w:tcPr>
            <w:tcW w:w="597" w:type="pct"/>
            <w:shd w:val="clear" w:color="auto" w:fill="auto"/>
            <w:noWrap/>
            <w:vAlign w:val="bottom"/>
            <w:hideMark/>
          </w:tcPr>
          <w:p w14:paraId="0BAFF537" w14:textId="0B06C6F7" w:rsidR="00FF2F77" w:rsidRPr="00B47608" w:rsidRDefault="00FF2F77" w:rsidP="00731C6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20,2</w:t>
            </w:r>
          </w:p>
        </w:tc>
        <w:tc>
          <w:tcPr>
            <w:tcW w:w="597" w:type="pct"/>
            <w:shd w:val="clear" w:color="auto" w:fill="auto"/>
            <w:noWrap/>
            <w:vAlign w:val="bottom"/>
            <w:hideMark/>
          </w:tcPr>
          <w:p w14:paraId="785EEBDC" w14:textId="1E0BAB0E" w:rsidR="00FF2F77" w:rsidRPr="00B47608" w:rsidRDefault="00FF2F77" w:rsidP="00731C6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7,5</w:t>
            </w:r>
          </w:p>
        </w:tc>
        <w:tc>
          <w:tcPr>
            <w:tcW w:w="597" w:type="pct"/>
            <w:shd w:val="clear" w:color="auto" w:fill="auto"/>
            <w:noWrap/>
            <w:vAlign w:val="bottom"/>
            <w:hideMark/>
          </w:tcPr>
          <w:p w14:paraId="6C8B4F8E" w14:textId="40ADE9D7" w:rsidR="00FF2F77" w:rsidRPr="00B47608" w:rsidRDefault="00FF2F77" w:rsidP="00731C6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7,5</w:t>
            </w:r>
          </w:p>
        </w:tc>
        <w:tc>
          <w:tcPr>
            <w:tcW w:w="598" w:type="pct"/>
            <w:shd w:val="clear" w:color="auto" w:fill="auto"/>
            <w:noWrap/>
            <w:vAlign w:val="bottom"/>
            <w:hideMark/>
          </w:tcPr>
          <w:p w14:paraId="3777E582" w14:textId="75AFBD29" w:rsidR="00FF2F77" w:rsidRPr="00B47608" w:rsidRDefault="00FF2F77" w:rsidP="00731C6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w:t>
            </w:r>
          </w:p>
        </w:tc>
      </w:tr>
      <w:tr w:rsidR="00FF2F77" w:rsidRPr="00B47608" w14:paraId="294FC817" w14:textId="77777777" w:rsidTr="00731C6E">
        <w:trPr>
          <w:trHeight w:val="288"/>
        </w:trPr>
        <w:tc>
          <w:tcPr>
            <w:tcW w:w="1416" w:type="pct"/>
            <w:shd w:val="clear" w:color="auto" w:fill="auto"/>
            <w:noWrap/>
            <w:vAlign w:val="bottom"/>
            <w:hideMark/>
          </w:tcPr>
          <w:p w14:paraId="2FCAFE66" w14:textId="77777777" w:rsidR="00FF2F77" w:rsidRPr="00B47608" w:rsidRDefault="00FF2F77"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Bassa intensità di export</w:t>
            </w:r>
          </w:p>
        </w:tc>
        <w:tc>
          <w:tcPr>
            <w:tcW w:w="597" w:type="pct"/>
            <w:shd w:val="clear" w:color="auto" w:fill="auto"/>
            <w:noWrap/>
            <w:vAlign w:val="bottom"/>
            <w:hideMark/>
          </w:tcPr>
          <w:p w14:paraId="198E61DA" w14:textId="2D684D74" w:rsidR="00FF2F77" w:rsidRPr="00B47608" w:rsidRDefault="00FF2F77" w:rsidP="00731C6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22,4</w:t>
            </w:r>
          </w:p>
        </w:tc>
        <w:tc>
          <w:tcPr>
            <w:tcW w:w="597" w:type="pct"/>
            <w:shd w:val="clear" w:color="auto" w:fill="auto"/>
            <w:noWrap/>
            <w:vAlign w:val="bottom"/>
            <w:hideMark/>
          </w:tcPr>
          <w:p w14:paraId="064CB706" w14:textId="157020E7" w:rsidR="00FF2F77" w:rsidRPr="00B47608" w:rsidRDefault="00FF2F77" w:rsidP="00731C6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55,6</w:t>
            </w:r>
          </w:p>
        </w:tc>
        <w:tc>
          <w:tcPr>
            <w:tcW w:w="597" w:type="pct"/>
            <w:shd w:val="clear" w:color="auto" w:fill="auto"/>
            <w:noWrap/>
            <w:vAlign w:val="bottom"/>
            <w:hideMark/>
          </w:tcPr>
          <w:p w14:paraId="481617F4" w14:textId="09AAF585" w:rsidR="00FF2F77" w:rsidRPr="00B47608" w:rsidRDefault="00FF2F77" w:rsidP="00731C6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11,9</w:t>
            </w:r>
          </w:p>
        </w:tc>
        <w:tc>
          <w:tcPr>
            <w:tcW w:w="597" w:type="pct"/>
            <w:shd w:val="clear" w:color="auto" w:fill="auto"/>
            <w:noWrap/>
            <w:vAlign w:val="bottom"/>
            <w:hideMark/>
          </w:tcPr>
          <w:p w14:paraId="12A1BD04" w14:textId="7E999A3F" w:rsidR="00FF2F77" w:rsidRPr="00B47608" w:rsidRDefault="00FF2F77" w:rsidP="00731C6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4,6</w:t>
            </w:r>
          </w:p>
        </w:tc>
        <w:tc>
          <w:tcPr>
            <w:tcW w:w="597" w:type="pct"/>
            <w:shd w:val="clear" w:color="auto" w:fill="auto"/>
            <w:noWrap/>
            <w:vAlign w:val="bottom"/>
            <w:hideMark/>
          </w:tcPr>
          <w:p w14:paraId="61DCFFF8" w14:textId="65BF6629" w:rsidR="00FF2F77" w:rsidRPr="00B47608" w:rsidRDefault="00FF2F77" w:rsidP="00731C6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5,6</w:t>
            </w:r>
          </w:p>
        </w:tc>
        <w:tc>
          <w:tcPr>
            <w:tcW w:w="598" w:type="pct"/>
            <w:shd w:val="clear" w:color="auto" w:fill="auto"/>
            <w:noWrap/>
            <w:vAlign w:val="bottom"/>
            <w:hideMark/>
          </w:tcPr>
          <w:p w14:paraId="7654ABCD" w14:textId="71F8B85D" w:rsidR="00FF2F77" w:rsidRPr="00B47608" w:rsidRDefault="00FF2F77" w:rsidP="00731C6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w:t>
            </w:r>
          </w:p>
        </w:tc>
      </w:tr>
      <w:tr w:rsidR="00FF2F77" w:rsidRPr="00B47608" w14:paraId="45C1DD03" w14:textId="77777777" w:rsidTr="00731C6E">
        <w:trPr>
          <w:trHeight w:val="288"/>
        </w:trPr>
        <w:tc>
          <w:tcPr>
            <w:tcW w:w="1416" w:type="pct"/>
            <w:shd w:val="clear" w:color="auto" w:fill="auto"/>
            <w:noWrap/>
            <w:vAlign w:val="bottom"/>
            <w:hideMark/>
          </w:tcPr>
          <w:p w14:paraId="74BBF47E" w14:textId="77777777" w:rsidR="00FF2F77" w:rsidRPr="00B47608" w:rsidRDefault="00FF2F77"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Media intensità di export</w:t>
            </w:r>
          </w:p>
        </w:tc>
        <w:tc>
          <w:tcPr>
            <w:tcW w:w="597" w:type="pct"/>
            <w:shd w:val="clear" w:color="auto" w:fill="auto"/>
            <w:noWrap/>
            <w:vAlign w:val="bottom"/>
            <w:hideMark/>
          </w:tcPr>
          <w:p w14:paraId="699F7351" w14:textId="0FB14A74" w:rsidR="00FF2F77" w:rsidRPr="00B47608" w:rsidRDefault="00FF2F77" w:rsidP="00731C6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24,2</w:t>
            </w:r>
          </w:p>
        </w:tc>
        <w:tc>
          <w:tcPr>
            <w:tcW w:w="597" w:type="pct"/>
            <w:shd w:val="clear" w:color="auto" w:fill="auto"/>
            <w:noWrap/>
            <w:vAlign w:val="bottom"/>
            <w:hideMark/>
          </w:tcPr>
          <w:p w14:paraId="2517D9D9" w14:textId="1F81FB84" w:rsidR="00FF2F77" w:rsidRPr="00B47608" w:rsidRDefault="00FF2F77" w:rsidP="00731C6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57,8</w:t>
            </w:r>
          </w:p>
        </w:tc>
        <w:tc>
          <w:tcPr>
            <w:tcW w:w="597" w:type="pct"/>
            <w:shd w:val="clear" w:color="auto" w:fill="auto"/>
            <w:noWrap/>
            <w:vAlign w:val="bottom"/>
            <w:hideMark/>
          </w:tcPr>
          <w:p w14:paraId="1F0D1122" w14:textId="589AB358" w:rsidR="00FF2F77" w:rsidRPr="00B47608" w:rsidRDefault="00FF2F77" w:rsidP="00731C6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15,0</w:t>
            </w:r>
          </w:p>
        </w:tc>
        <w:tc>
          <w:tcPr>
            <w:tcW w:w="597" w:type="pct"/>
            <w:shd w:val="clear" w:color="auto" w:fill="auto"/>
            <w:noWrap/>
            <w:vAlign w:val="bottom"/>
            <w:hideMark/>
          </w:tcPr>
          <w:p w14:paraId="5356FAC6" w14:textId="41DF203E" w:rsidR="00FF2F77" w:rsidRPr="00B47608" w:rsidRDefault="00FF2F77" w:rsidP="00731C6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1,5</w:t>
            </w:r>
          </w:p>
        </w:tc>
        <w:tc>
          <w:tcPr>
            <w:tcW w:w="597" w:type="pct"/>
            <w:shd w:val="clear" w:color="auto" w:fill="auto"/>
            <w:noWrap/>
            <w:vAlign w:val="bottom"/>
            <w:hideMark/>
          </w:tcPr>
          <w:p w14:paraId="4ADF6B53" w14:textId="27E4CC3B" w:rsidR="00FF2F77" w:rsidRPr="00B47608" w:rsidRDefault="00FF2F77" w:rsidP="00731C6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1,6</w:t>
            </w:r>
          </w:p>
        </w:tc>
        <w:tc>
          <w:tcPr>
            <w:tcW w:w="598" w:type="pct"/>
            <w:shd w:val="clear" w:color="auto" w:fill="auto"/>
            <w:noWrap/>
            <w:vAlign w:val="bottom"/>
            <w:hideMark/>
          </w:tcPr>
          <w:p w14:paraId="7825307B" w14:textId="6DC5CC55" w:rsidR="00FF2F77" w:rsidRPr="00B47608" w:rsidRDefault="00FF2F77" w:rsidP="00731C6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w:t>
            </w:r>
          </w:p>
        </w:tc>
      </w:tr>
      <w:tr w:rsidR="00FF2F77" w:rsidRPr="00B47608" w14:paraId="100521D5" w14:textId="77777777" w:rsidTr="00731C6E">
        <w:trPr>
          <w:trHeight w:val="288"/>
        </w:trPr>
        <w:tc>
          <w:tcPr>
            <w:tcW w:w="1416" w:type="pct"/>
            <w:shd w:val="clear" w:color="auto" w:fill="auto"/>
            <w:noWrap/>
            <w:vAlign w:val="bottom"/>
            <w:hideMark/>
          </w:tcPr>
          <w:p w14:paraId="39489F85" w14:textId="77777777" w:rsidR="00FF2F77" w:rsidRPr="00B47608" w:rsidRDefault="00FF2F77"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Alta intensità di export</w:t>
            </w:r>
          </w:p>
        </w:tc>
        <w:tc>
          <w:tcPr>
            <w:tcW w:w="597" w:type="pct"/>
            <w:shd w:val="clear" w:color="auto" w:fill="auto"/>
            <w:noWrap/>
            <w:vAlign w:val="bottom"/>
            <w:hideMark/>
          </w:tcPr>
          <w:p w14:paraId="321C8C95" w14:textId="1AAFD16A" w:rsidR="00FF2F77" w:rsidRPr="00B47608" w:rsidRDefault="00FF2F77" w:rsidP="00731C6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30,2</w:t>
            </w:r>
          </w:p>
        </w:tc>
        <w:tc>
          <w:tcPr>
            <w:tcW w:w="597" w:type="pct"/>
            <w:shd w:val="clear" w:color="auto" w:fill="auto"/>
            <w:noWrap/>
            <w:vAlign w:val="bottom"/>
            <w:hideMark/>
          </w:tcPr>
          <w:p w14:paraId="0C49ECC0" w14:textId="66019EB4" w:rsidR="00FF2F77" w:rsidRPr="00B47608" w:rsidRDefault="00FF2F77" w:rsidP="00731C6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49,8</w:t>
            </w:r>
          </w:p>
        </w:tc>
        <w:tc>
          <w:tcPr>
            <w:tcW w:w="597" w:type="pct"/>
            <w:shd w:val="clear" w:color="auto" w:fill="auto"/>
            <w:noWrap/>
            <w:vAlign w:val="bottom"/>
            <w:hideMark/>
          </w:tcPr>
          <w:p w14:paraId="0B0C3335" w14:textId="67325F5E" w:rsidR="00FF2F77" w:rsidRPr="00B47608" w:rsidRDefault="00FF2F77" w:rsidP="00731C6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15,4</w:t>
            </w:r>
          </w:p>
        </w:tc>
        <w:tc>
          <w:tcPr>
            <w:tcW w:w="597" w:type="pct"/>
            <w:shd w:val="clear" w:color="auto" w:fill="auto"/>
            <w:noWrap/>
            <w:vAlign w:val="bottom"/>
            <w:hideMark/>
          </w:tcPr>
          <w:p w14:paraId="6E15273B" w14:textId="12817C48" w:rsidR="00FF2F77" w:rsidRPr="00B47608" w:rsidRDefault="00FF2F77" w:rsidP="00731C6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2,0</w:t>
            </w:r>
          </w:p>
        </w:tc>
        <w:tc>
          <w:tcPr>
            <w:tcW w:w="597" w:type="pct"/>
            <w:shd w:val="clear" w:color="auto" w:fill="auto"/>
            <w:noWrap/>
            <w:vAlign w:val="bottom"/>
            <w:hideMark/>
          </w:tcPr>
          <w:p w14:paraId="3C8EFE5E" w14:textId="0C89958D" w:rsidR="00FF2F77" w:rsidRPr="00B47608" w:rsidRDefault="00FF2F77" w:rsidP="00731C6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2,6</w:t>
            </w:r>
          </w:p>
        </w:tc>
        <w:tc>
          <w:tcPr>
            <w:tcW w:w="598" w:type="pct"/>
            <w:shd w:val="clear" w:color="auto" w:fill="auto"/>
            <w:noWrap/>
            <w:vAlign w:val="bottom"/>
            <w:hideMark/>
          </w:tcPr>
          <w:p w14:paraId="54C12068" w14:textId="583CBF28" w:rsidR="00FF2F77" w:rsidRPr="00B47608" w:rsidRDefault="00FF2F77" w:rsidP="00731C6E">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w:t>
            </w:r>
          </w:p>
        </w:tc>
      </w:tr>
    </w:tbl>
    <w:p w14:paraId="03196402" w14:textId="01E82FDD" w:rsidR="005B05D6" w:rsidRPr="00B47608" w:rsidRDefault="00FF2F77" w:rsidP="000B2EF1">
      <w:pPr>
        <w:spacing w:after="0"/>
      </w:pPr>
      <w:r w:rsidRPr="00B47608">
        <w:t>Fonte: Fondazione Nord Est (463 casi)</w:t>
      </w:r>
      <w:r w:rsidR="005B05D6" w:rsidRPr="00B47608">
        <w:br w:type="page"/>
      </w:r>
    </w:p>
    <w:p w14:paraId="15FD3922" w14:textId="77777777" w:rsidR="008D5434" w:rsidRPr="00B47608" w:rsidRDefault="008D5434" w:rsidP="00ED2A57">
      <w:pPr>
        <w:spacing w:after="0"/>
      </w:pPr>
    </w:p>
    <w:p w14:paraId="0AAFF3F0" w14:textId="5D56B8AC" w:rsidR="00A8686D" w:rsidRPr="00B47608" w:rsidRDefault="007B7276" w:rsidP="00ED2A57">
      <w:pPr>
        <w:spacing w:after="0" w:line="240" w:lineRule="auto"/>
        <w:jc w:val="both"/>
      </w:pPr>
      <w:bookmarkStart w:id="19" w:name="_Hlk190238604"/>
      <w:r w:rsidRPr="00B47608">
        <w:t xml:space="preserve">Negli ultimi anni, l’interesse di clienti e fornitori internazionali </w:t>
      </w:r>
      <w:r w:rsidR="00FF6C1C" w:rsidRPr="00B47608">
        <w:t>verso</w:t>
      </w:r>
      <w:r w:rsidR="009E4686" w:rsidRPr="00B47608">
        <w:t xml:space="preserve"> le</w:t>
      </w:r>
      <w:r w:rsidR="00FF6C1C" w:rsidRPr="00B47608">
        <w:t xml:space="preserve"> politiche di sostenibilità ambientale</w:t>
      </w:r>
      <w:r w:rsidR="006264C0" w:rsidRPr="00B47608">
        <w:t xml:space="preserve"> messe in atto dalle singole imprese</w:t>
      </w:r>
      <w:r w:rsidR="00FF6C1C" w:rsidRPr="00B47608">
        <w:t xml:space="preserve"> è aumentato</w:t>
      </w:r>
      <w:r w:rsidR="009E4686" w:rsidRPr="00B47608">
        <w:t>, come dichiarato dal</w:t>
      </w:r>
      <w:r w:rsidR="00FF6C1C" w:rsidRPr="00B47608">
        <w:t xml:space="preserve"> 49,1% delle imprese intervistat</w:t>
      </w:r>
      <w:r w:rsidR="009E4686" w:rsidRPr="00B47608">
        <w:t>e</w:t>
      </w:r>
      <w:r w:rsidR="00FF6C1C" w:rsidRPr="00B47608">
        <w:t>.</w:t>
      </w:r>
      <w:r w:rsidR="004D4F59" w:rsidRPr="00B47608">
        <w:t xml:space="preserve"> </w:t>
      </w:r>
      <w:bookmarkEnd w:id="19"/>
      <w:r w:rsidR="008E1241" w:rsidRPr="00B47608">
        <w:t>Il</w:t>
      </w:r>
      <w:r w:rsidR="008667CF" w:rsidRPr="00B47608">
        <w:t xml:space="preserve"> 43,75</w:t>
      </w:r>
      <w:r w:rsidR="00B56F3B" w:rsidRPr="00B47608">
        <w:t>%</w:t>
      </w:r>
      <w:r w:rsidR="008667CF" w:rsidRPr="00B47608">
        <w:t xml:space="preserve"> delle imprese afferma</w:t>
      </w:r>
      <w:r w:rsidR="008E1241" w:rsidRPr="00B47608">
        <w:t xml:space="preserve"> invece</w:t>
      </w:r>
      <w:r w:rsidR="008667CF" w:rsidRPr="00B47608">
        <w:t xml:space="preserve"> che tale interesse sia rimasto stabile.</w:t>
      </w:r>
      <w:r w:rsidR="002F156E" w:rsidRPr="00B47608">
        <w:t xml:space="preserve"> </w:t>
      </w:r>
      <w:r w:rsidR="00261918" w:rsidRPr="00B47608">
        <w:t xml:space="preserve">Analizzando le risposte per macrosettore, </w:t>
      </w:r>
      <w:r w:rsidR="00BD7C71" w:rsidRPr="00B47608">
        <w:t>si rileva</w:t>
      </w:r>
      <w:r w:rsidR="00261918" w:rsidRPr="00B47608">
        <w:t xml:space="preserve"> che </w:t>
      </w:r>
      <w:r w:rsidR="00BD7C71" w:rsidRPr="00B47608">
        <w:t>l’incremento</w:t>
      </w:r>
      <w:r w:rsidR="00261918" w:rsidRPr="00B47608">
        <w:t xml:space="preserve"> </w:t>
      </w:r>
      <w:r w:rsidR="00BD7C71" w:rsidRPr="00B47608">
        <w:t>dell’interesse</w:t>
      </w:r>
      <w:r w:rsidR="007074F3" w:rsidRPr="00B47608">
        <w:t xml:space="preserve"> verso la sostenibilità ambientale </w:t>
      </w:r>
      <w:r w:rsidR="00BD7C71" w:rsidRPr="00B47608">
        <w:t>è più marcato</w:t>
      </w:r>
      <w:r w:rsidR="007074F3" w:rsidRPr="00B47608">
        <w:t xml:space="preserve"> nelle imprese appartenenti ad altri settori</w:t>
      </w:r>
      <w:r w:rsidR="00DD159D" w:rsidRPr="00B47608">
        <w:t xml:space="preserve"> (51%), </w:t>
      </w:r>
      <w:r w:rsidR="00BD7C71" w:rsidRPr="00B47608">
        <w:t>rispetto a</w:t>
      </w:r>
      <w:r w:rsidR="008B35BC" w:rsidRPr="00B47608">
        <w:t xml:space="preserve"> quelle </w:t>
      </w:r>
      <w:r w:rsidR="00BD7C71" w:rsidRPr="00B47608">
        <w:t>del comparto metalmeccanico</w:t>
      </w:r>
      <w:r w:rsidR="008B35BC" w:rsidRPr="00B47608">
        <w:t xml:space="preserve"> (46,5%).</w:t>
      </w:r>
      <w:r w:rsidR="00854D02" w:rsidRPr="00B47608">
        <w:t xml:space="preserve"> </w:t>
      </w:r>
    </w:p>
    <w:p w14:paraId="0AA42420" w14:textId="77777777" w:rsidR="0073586C" w:rsidRPr="00B47608" w:rsidRDefault="0073586C" w:rsidP="00ED2A57">
      <w:pPr>
        <w:spacing w:after="0" w:line="240" w:lineRule="auto"/>
        <w:rPr>
          <w:rFonts w:eastAsia="Times New Roman" w:cs="Calibri"/>
          <w:color w:val="000000"/>
          <w:kern w:val="0"/>
          <w:lang w:eastAsia="it-IT"/>
          <w14:ligatures w14:val="none"/>
        </w:rPr>
      </w:pPr>
    </w:p>
    <w:p w14:paraId="2437A2AF" w14:textId="18917DA1" w:rsidR="00FD107C" w:rsidRPr="00B47608" w:rsidRDefault="00D53D0F" w:rsidP="00ED2A57">
      <w:pPr>
        <w:spacing w:after="0" w:line="240" w:lineRule="auto"/>
        <w:jc w:val="both"/>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 xml:space="preserve">Tab. </w:t>
      </w:r>
      <w:r w:rsidR="00B836B8" w:rsidRPr="00B47608">
        <w:rPr>
          <w:rFonts w:eastAsia="Times New Roman" w:cs="Calibri"/>
          <w:b/>
          <w:bCs/>
          <w:color w:val="000000"/>
          <w:kern w:val="0"/>
          <w:lang w:eastAsia="it-IT"/>
          <w14:ligatures w14:val="none"/>
        </w:rPr>
        <w:t>5.</w:t>
      </w:r>
      <w:r w:rsidRPr="00B47608">
        <w:rPr>
          <w:rFonts w:eastAsia="Times New Roman" w:cs="Calibri"/>
          <w:b/>
          <w:bCs/>
          <w:color w:val="000000"/>
          <w:kern w:val="0"/>
          <w:lang w:eastAsia="it-IT"/>
          <w14:ligatures w14:val="none"/>
        </w:rPr>
        <w:t>2</w:t>
      </w:r>
      <w:r w:rsidR="00B836B8" w:rsidRPr="00B47608">
        <w:rPr>
          <w:rFonts w:eastAsia="Times New Roman" w:cs="Calibri"/>
          <w:b/>
          <w:bCs/>
          <w:color w:val="000000"/>
          <w:kern w:val="0"/>
          <w:lang w:eastAsia="it-IT"/>
          <w14:ligatures w14:val="none"/>
        </w:rPr>
        <w:t xml:space="preserve"> </w:t>
      </w:r>
      <w:r w:rsidR="00E62D80" w:rsidRPr="00B47608">
        <w:rPr>
          <w:rFonts w:eastAsia="Times New Roman" w:cs="Calibri"/>
          <w:b/>
          <w:bCs/>
          <w:color w:val="000000"/>
          <w:kern w:val="0"/>
          <w:lang w:eastAsia="it-IT"/>
          <w14:ligatures w14:val="none"/>
        </w:rPr>
        <w:t>Nella sua esperienza, l’interesse da parte di clienti e fornitori internazionali verso le politiche di sostenibilità ambientale della sua azienda negli ultimi anni è: Per macrosettore, dimensioni e intensità di esportazione</w:t>
      </w:r>
      <w:r w:rsidR="00231CA5" w:rsidRPr="00B47608">
        <w:rPr>
          <w:rFonts w:eastAsia="Times New Roman" w:cs="Calibri"/>
          <w:b/>
          <w:bCs/>
          <w:color w:val="000000"/>
          <w:kern w:val="0"/>
          <w:lang w:eastAsia="it-IT"/>
          <w14:ligatures w14:val="none"/>
        </w:rPr>
        <w:t xml:space="preserve"> (Val. %)</w:t>
      </w:r>
      <w:r w:rsidR="00E62D80" w:rsidRPr="00B47608">
        <w:rPr>
          <w:rFonts w:eastAsia="Times New Roman" w:cs="Calibri"/>
          <w:b/>
          <w:bCs/>
          <w:color w:val="000000"/>
          <w:kern w:val="0"/>
          <w:lang w:eastAsia="it-IT"/>
          <w14:ligatures w14:val="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09"/>
        <w:gridCol w:w="1383"/>
        <w:gridCol w:w="1259"/>
        <w:gridCol w:w="1259"/>
        <w:gridCol w:w="1259"/>
        <w:gridCol w:w="1259"/>
      </w:tblGrid>
      <w:tr w:rsidR="00FD107C" w:rsidRPr="00B47608" w14:paraId="7BC7C645" w14:textId="77777777" w:rsidTr="00231CA5">
        <w:trPr>
          <w:trHeight w:val="288"/>
        </w:trPr>
        <w:tc>
          <w:tcPr>
            <w:tcW w:w="1666" w:type="pct"/>
            <w:shd w:val="clear" w:color="auto" w:fill="auto"/>
            <w:noWrap/>
            <w:vAlign w:val="center"/>
            <w:hideMark/>
          </w:tcPr>
          <w:p w14:paraId="71346633" w14:textId="77777777" w:rsidR="00FD107C" w:rsidRPr="00B47608" w:rsidRDefault="00FD107C" w:rsidP="00ED2A57">
            <w:pPr>
              <w:spacing w:after="0" w:line="240" w:lineRule="auto"/>
              <w:rPr>
                <w:rFonts w:eastAsia="Times New Roman" w:cs="Times New Roman"/>
                <w:kern w:val="0"/>
                <w:sz w:val="24"/>
                <w:szCs w:val="24"/>
                <w:lang w:eastAsia="it-IT"/>
                <w14:ligatures w14:val="none"/>
              </w:rPr>
            </w:pPr>
          </w:p>
        </w:tc>
        <w:tc>
          <w:tcPr>
            <w:tcW w:w="718" w:type="pct"/>
            <w:shd w:val="clear" w:color="auto" w:fill="auto"/>
            <w:noWrap/>
            <w:vAlign w:val="center"/>
            <w:hideMark/>
          </w:tcPr>
          <w:p w14:paraId="024196EF" w14:textId="77777777" w:rsidR="00FD107C" w:rsidRPr="00B47608" w:rsidRDefault="00FD107C" w:rsidP="00680DED">
            <w:pPr>
              <w:spacing w:after="0" w:line="240" w:lineRule="auto"/>
              <w:jc w:val="center"/>
              <w:rPr>
                <w:rFonts w:eastAsia="Times New Roman" w:cs="Calibri"/>
                <w:b/>
                <w:bCs/>
                <w:color w:val="000000"/>
                <w:kern w:val="0"/>
                <w:sz w:val="20"/>
                <w:szCs w:val="20"/>
                <w:lang w:eastAsia="it-IT"/>
                <w14:ligatures w14:val="none"/>
              </w:rPr>
            </w:pPr>
            <w:r w:rsidRPr="00B47608">
              <w:rPr>
                <w:rFonts w:eastAsia="Times New Roman" w:cs="Calibri"/>
                <w:b/>
                <w:bCs/>
                <w:color w:val="000000"/>
                <w:kern w:val="0"/>
                <w:sz w:val="20"/>
                <w:szCs w:val="20"/>
                <w:lang w:eastAsia="it-IT"/>
                <w14:ligatures w14:val="none"/>
              </w:rPr>
              <w:t>Aumentato</w:t>
            </w:r>
          </w:p>
        </w:tc>
        <w:tc>
          <w:tcPr>
            <w:tcW w:w="654" w:type="pct"/>
            <w:shd w:val="clear" w:color="auto" w:fill="auto"/>
            <w:noWrap/>
            <w:vAlign w:val="center"/>
            <w:hideMark/>
          </w:tcPr>
          <w:p w14:paraId="29481196" w14:textId="77777777" w:rsidR="00FD107C" w:rsidRPr="00B47608" w:rsidRDefault="00FD107C" w:rsidP="00680DED">
            <w:pPr>
              <w:spacing w:after="0" w:line="240" w:lineRule="auto"/>
              <w:jc w:val="center"/>
              <w:rPr>
                <w:rFonts w:eastAsia="Times New Roman" w:cs="Calibri"/>
                <w:b/>
                <w:bCs/>
                <w:color w:val="000000"/>
                <w:kern w:val="0"/>
                <w:sz w:val="20"/>
                <w:szCs w:val="20"/>
                <w:lang w:eastAsia="it-IT"/>
                <w14:ligatures w14:val="none"/>
              </w:rPr>
            </w:pPr>
            <w:r w:rsidRPr="00B47608">
              <w:rPr>
                <w:rFonts w:eastAsia="Times New Roman" w:cs="Calibri"/>
                <w:b/>
                <w:bCs/>
                <w:color w:val="000000"/>
                <w:kern w:val="0"/>
                <w:sz w:val="20"/>
                <w:szCs w:val="20"/>
                <w:lang w:eastAsia="it-IT"/>
                <w14:ligatures w14:val="none"/>
              </w:rPr>
              <w:t>Rimasto stabile</w:t>
            </w:r>
          </w:p>
        </w:tc>
        <w:tc>
          <w:tcPr>
            <w:tcW w:w="654" w:type="pct"/>
            <w:shd w:val="clear" w:color="auto" w:fill="auto"/>
            <w:noWrap/>
            <w:vAlign w:val="center"/>
            <w:hideMark/>
          </w:tcPr>
          <w:p w14:paraId="4CD77B44" w14:textId="77777777" w:rsidR="00FD107C" w:rsidRPr="00B47608" w:rsidRDefault="00FD107C" w:rsidP="00680DED">
            <w:pPr>
              <w:spacing w:after="0" w:line="240" w:lineRule="auto"/>
              <w:jc w:val="center"/>
              <w:rPr>
                <w:rFonts w:eastAsia="Times New Roman" w:cs="Calibri"/>
                <w:b/>
                <w:bCs/>
                <w:color w:val="000000"/>
                <w:kern w:val="0"/>
                <w:sz w:val="20"/>
                <w:szCs w:val="20"/>
                <w:lang w:eastAsia="it-IT"/>
                <w14:ligatures w14:val="none"/>
              </w:rPr>
            </w:pPr>
            <w:r w:rsidRPr="00B47608">
              <w:rPr>
                <w:rFonts w:eastAsia="Times New Roman" w:cs="Calibri"/>
                <w:b/>
                <w:bCs/>
                <w:color w:val="000000"/>
                <w:kern w:val="0"/>
                <w:sz w:val="20"/>
                <w:szCs w:val="20"/>
                <w:lang w:eastAsia="it-IT"/>
                <w14:ligatures w14:val="none"/>
              </w:rPr>
              <w:t>Diminuito</w:t>
            </w:r>
          </w:p>
        </w:tc>
        <w:tc>
          <w:tcPr>
            <w:tcW w:w="654" w:type="pct"/>
            <w:shd w:val="clear" w:color="auto" w:fill="auto"/>
            <w:noWrap/>
            <w:vAlign w:val="center"/>
            <w:hideMark/>
          </w:tcPr>
          <w:p w14:paraId="01A0AD09" w14:textId="122791C0" w:rsidR="00FD107C" w:rsidRPr="00B47608" w:rsidRDefault="00FD107C" w:rsidP="00680DED">
            <w:pPr>
              <w:spacing w:after="0" w:line="240" w:lineRule="auto"/>
              <w:jc w:val="center"/>
              <w:rPr>
                <w:rFonts w:eastAsia="Times New Roman" w:cs="Calibri"/>
                <w:b/>
                <w:bCs/>
                <w:color w:val="000000"/>
                <w:kern w:val="0"/>
                <w:sz w:val="20"/>
                <w:szCs w:val="20"/>
                <w:lang w:eastAsia="it-IT"/>
                <w14:ligatures w14:val="none"/>
              </w:rPr>
            </w:pPr>
            <w:proofErr w:type="spellStart"/>
            <w:r w:rsidRPr="00B47608">
              <w:rPr>
                <w:rFonts w:eastAsia="Times New Roman" w:cs="Calibri"/>
                <w:b/>
                <w:bCs/>
                <w:color w:val="000000"/>
                <w:kern w:val="0"/>
                <w:sz w:val="20"/>
                <w:szCs w:val="20"/>
                <w:lang w:eastAsia="it-IT"/>
                <w14:ligatures w14:val="none"/>
              </w:rPr>
              <w:t>n.r</w:t>
            </w:r>
            <w:proofErr w:type="spellEnd"/>
            <w:r w:rsidRPr="00B47608">
              <w:rPr>
                <w:rFonts w:eastAsia="Times New Roman" w:cs="Calibri"/>
                <w:b/>
                <w:bCs/>
                <w:color w:val="000000"/>
                <w:kern w:val="0"/>
                <w:sz w:val="20"/>
                <w:szCs w:val="20"/>
                <w:lang w:eastAsia="it-IT"/>
                <w14:ligatures w14:val="none"/>
              </w:rPr>
              <w:t>.</w:t>
            </w:r>
          </w:p>
        </w:tc>
        <w:tc>
          <w:tcPr>
            <w:tcW w:w="654" w:type="pct"/>
            <w:shd w:val="clear" w:color="auto" w:fill="auto"/>
            <w:noWrap/>
            <w:vAlign w:val="center"/>
            <w:hideMark/>
          </w:tcPr>
          <w:p w14:paraId="0C1AD0C5" w14:textId="77777777" w:rsidR="00FD107C" w:rsidRPr="00B47608" w:rsidRDefault="00FD107C" w:rsidP="00680DED">
            <w:pPr>
              <w:spacing w:after="0" w:line="240" w:lineRule="auto"/>
              <w:jc w:val="center"/>
              <w:rPr>
                <w:rFonts w:eastAsia="Times New Roman" w:cs="Calibri"/>
                <w:b/>
                <w:bCs/>
                <w:color w:val="000000"/>
                <w:kern w:val="0"/>
                <w:sz w:val="20"/>
                <w:szCs w:val="20"/>
                <w:lang w:eastAsia="it-IT"/>
                <w14:ligatures w14:val="none"/>
              </w:rPr>
            </w:pPr>
            <w:r w:rsidRPr="00B47608">
              <w:rPr>
                <w:rFonts w:eastAsia="Times New Roman" w:cs="Calibri"/>
                <w:b/>
                <w:bCs/>
                <w:color w:val="000000"/>
                <w:kern w:val="0"/>
                <w:sz w:val="20"/>
                <w:szCs w:val="20"/>
                <w:lang w:eastAsia="it-IT"/>
                <w14:ligatures w14:val="none"/>
              </w:rPr>
              <w:t>Totale</w:t>
            </w:r>
          </w:p>
        </w:tc>
      </w:tr>
      <w:tr w:rsidR="00FD107C" w:rsidRPr="00B47608" w14:paraId="5124AE39" w14:textId="77777777" w:rsidTr="00231CA5">
        <w:trPr>
          <w:trHeight w:val="288"/>
        </w:trPr>
        <w:tc>
          <w:tcPr>
            <w:tcW w:w="1666" w:type="pct"/>
            <w:shd w:val="clear" w:color="auto" w:fill="auto"/>
            <w:noWrap/>
            <w:vAlign w:val="bottom"/>
            <w:hideMark/>
          </w:tcPr>
          <w:p w14:paraId="3A0E2CF5" w14:textId="77777777" w:rsidR="00FD107C" w:rsidRPr="00B47608" w:rsidRDefault="00FD107C" w:rsidP="00ED2A57">
            <w:pPr>
              <w:spacing w:after="0" w:line="240" w:lineRule="auto"/>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Tutti</w:t>
            </w:r>
          </w:p>
        </w:tc>
        <w:tc>
          <w:tcPr>
            <w:tcW w:w="718" w:type="pct"/>
            <w:shd w:val="clear" w:color="auto" w:fill="auto"/>
            <w:noWrap/>
            <w:vAlign w:val="bottom"/>
            <w:hideMark/>
          </w:tcPr>
          <w:p w14:paraId="4CDF73D1" w14:textId="2D7E3920" w:rsidR="00FD107C" w:rsidRPr="00B47608" w:rsidRDefault="00FD107C"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49,1</w:t>
            </w:r>
          </w:p>
        </w:tc>
        <w:tc>
          <w:tcPr>
            <w:tcW w:w="654" w:type="pct"/>
            <w:shd w:val="clear" w:color="auto" w:fill="auto"/>
            <w:noWrap/>
            <w:vAlign w:val="bottom"/>
            <w:hideMark/>
          </w:tcPr>
          <w:p w14:paraId="336AF756" w14:textId="5E624110" w:rsidR="00FD107C" w:rsidRPr="00B47608" w:rsidRDefault="00FD107C"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43,7</w:t>
            </w:r>
          </w:p>
        </w:tc>
        <w:tc>
          <w:tcPr>
            <w:tcW w:w="654" w:type="pct"/>
            <w:shd w:val="clear" w:color="auto" w:fill="auto"/>
            <w:noWrap/>
            <w:vAlign w:val="bottom"/>
            <w:hideMark/>
          </w:tcPr>
          <w:p w14:paraId="299F72FD" w14:textId="7A66E4BE" w:rsidR="00FD107C" w:rsidRPr="00B47608" w:rsidRDefault="00FD107C"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2,7</w:t>
            </w:r>
          </w:p>
        </w:tc>
        <w:tc>
          <w:tcPr>
            <w:tcW w:w="654" w:type="pct"/>
            <w:shd w:val="clear" w:color="auto" w:fill="auto"/>
            <w:noWrap/>
            <w:vAlign w:val="bottom"/>
            <w:hideMark/>
          </w:tcPr>
          <w:p w14:paraId="650B1818" w14:textId="5862365F" w:rsidR="00FD107C" w:rsidRPr="00B47608" w:rsidRDefault="00FD107C"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4,4</w:t>
            </w:r>
          </w:p>
        </w:tc>
        <w:tc>
          <w:tcPr>
            <w:tcW w:w="654" w:type="pct"/>
            <w:shd w:val="clear" w:color="auto" w:fill="auto"/>
            <w:noWrap/>
            <w:vAlign w:val="bottom"/>
            <w:hideMark/>
          </w:tcPr>
          <w:p w14:paraId="75A835CB" w14:textId="3BD0239F" w:rsidR="00FD107C" w:rsidRPr="00B47608" w:rsidRDefault="00FD107C"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100</w:t>
            </w:r>
          </w:p>
        </w:tc>
      </w:tr>
      <w:tr w:rsidR="00FD107C" w:rsidRPr="00B47608" w14:paraId="33DEB5FB" w14:textId="77777777" w:rsidTr="00231CA5">
        <w:trPr>
          <w:trHeight w:val="288"/>
        </w:trPr>
        <w:tc>
          <w:tcPr>
            <w:tcW w:w="1666" w:type="pct"/>
            <w:shd w:val="clear" w:color="auto" w:fill="auto"/>
            <w:noWrap/>
            <w:vAlign w:val="bottom"/>
            <w:hideMark/>
          </w:tcPr>
          <w:p w14:paraId="073C95C1" w14:textId="77777777" w:rsidR="00FD107C" w:rsidRPr="00B47608" w:rsidRDefault="00FD107C" w:rsidP="00ED2A57">
            <w:pPr>
              <w:spacing w:after="0" w:line="240" w:lineRule="auto"/>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Macrosettore</w:t>
            </w:r>
          </w:p>
        </w:tc>
        <w:tc>
          <w:tcPr>
            <w:tcW w:w="718" w:type="pct"/>
            <w:shd w:val="clear" w:color="auto" w:fill="auto"/>
            <w:noWrap/>
            <w:vAlign w:val="bottom"/>
            <w:hideMark/>
          </w:tcPr>
          <w:p w14:paraId="3A49C6CF" w14:textId="77777777" w:rsidR="00FD107C" w:rsidRPr="00B47608" w:rsidRDefault="00FD107C" w:rsidP="00ED2A57">
            <w:pPr>
              <w:spacing w:after="0" w:line="240" w:lineRule="auto"/>
              <w:jc w:val="center"/>
              <w:rPr>
                <w:rFonts w:eastAsia="Times New Roman" w:cs="Calibri"/>
                <w:b/>
                <w:bCs/>
                <w:color w:val="000000"/>
                <w:kern w:val="0"/>
                <w:lang w:eastAsia="it-IT"/>
                <w14:ligatures w14:val="none"/>
              </w:rPr>
            </w:pPr>
          </w:p>
        </w:tc>
        <w:tc>
          <w:tcPr>
            <w:tcW w:w="654" w:type="pct"/>
            <w:shd w:val="clear" w:color="auto" w:fill="auto"/>
            <w:noWrap/>
            <w:vAlign w:val="bottom"/>
            <w:hideMark/>
          </w:tcPr>
          <w:p w14:paraId="3B5CC7CB" w14:textId="77777777" w:rsidR="00FD107C" w:rsidRPr="00B47608" w:rsidRDefault="00FD107C" w:rsidP="00ED2A57">
            <w:pPr>
              <w:spacing w:after="0" w:line="240" w:lineRule="auto"/>
              <w:jc w:val="center"/>
              <w:rPr>
                <w:rFonts w:eastAsia="Times New Roman" w:cs="Times New Roman"/>
                <w:kern w:val="0"/>
                <w:sz w:val="20"/>
                <w:szCs w:val="20"/>
                <w:lang w:eastAsia="it-IT"/>
                <w14:ligatures w14:val="none"/>
              </w:rPr>
            </w:pPr>
          </w:p>
        </w:tc>
        <w:tc>
          <w:tcPr>
            <w:tcW w:w="654" w:type="pct"/>
            <w:shd w:val="clear" w:color="auto" w:fill="auto"/>
            <w:noWrap/>
            <w:vAlign w:val="bottom"/>
            <w:hideMark/>
          </w:tcPr>
          <w:p w14:paraId="7169935B" w14:textId="77777777" w:rsidR="00FD107C" w:rsidRPr="00B47608" w:rsidRDefault="00FD107C" w:rsidP="00ED2A57">
            <w:pPr>
              <w:spacing w:after="0" w:line="240" w:lineRule="auto"/>
              <w:jc w:val="center"/>
              <w:rPr>
                <w:rFonts w:eastAsia="Times New Roman" w:cs="Times New Roman"/>
                <w:kern w:val="0"/>
                <w:sz w:val="20"/>
                <w:szCs w:val="20"/>
                <w:lang w:eastAsia="it-IT"/>
                <w14:ligatures w14:val="none"/>
              </w:rPr>
            </w:pPr>
          </w:p>
        </w:tc>
        <w:tc>
          <w:tcPr>
            <w:tcW w:w="654" w:type="pct"/>
            <w:shd w:val="clear" w:color="auto" w:fill="auto"/>
            <w:noWrap/>
            <w:vAlign w:val="bottom"/>
            <w:hideMark/>
          </w:tcPr>
          <w:p w14:paraId="7A46F760" w14:textId="77777777" w:rsidR="00FD107C" w:rsidRPr="00B47608" w:rsidRDefault="00FD107C" w:rsidP="00ED2A57">
            <w:pPr>
              <w:spacing w:after="0" w:line="240" w:lineRule="auto"/>
              <w:jc w:val="center"/>
              <w:rPr>
                <w:rFonts w:eastAsia="Times New Roman" w:cs="Times New Roman"/>
                <w:kern w:val="0"/>
                <w:sz w:val="20"/>
                <w:szCs w:val="20"/>
                <w:lang w:eastAsia="it-IT"/>
                <w14:ligatures w14:val="none"/>
              </w:rPr>
            </w:pPr>
          </w:p>
        </w:tc>
        <w:tc>
          <w:tcPr>
            <w:tcW w:w="654" w:type="pct"/>
            <w:shd w:val="clear" w:color="auto" w:fill="auto"/>
            <w:noWrap/>
            <w:vAlign w:val="bottom"/>
            <w:hideMark/>
          </w:tcPr>
          <w:p w14:paraId="0F8D1EAE" w14:textId="77777777" w:rsidR="00FD107C" w:rsidRPr="00B47608" w:rsidRDefault="00FD107C" w:rsidP="00ED2A57">
            <w:pPr>
              <w:spacing w:after="0" w:line="240" w:lineRule="auto"/>
              <w:jc w:val="center"/>
              <w:rPr>
                <w:rFonts w:eastAsia="Times New Roman" w:cs="Times New Roman"/>
                <w:kern w:val="0"/>
                <w:sz w:val="20"/>
                <w:szCs w:val="20"/>
                <w:lang w:eastAsia="it-IT"/>
                <w14:ligatures w14:val="none"/>
              </w:rPr>
            </w:pPr>
          </w:p>
        </w:tc>
      </w:tr>
      <w:tr w:rsidR="00FD107C" w:rsidRPr="00B47608" w14:paraId="07276C58" w14:textId="77777777" w:rsidTr="00231CA5">
        <w:trPr>
          <w:trHeight w:val="276"/>
        </w:trPr>
        <w:tc>
          <w:tcPr>
            <w:tcW w:w="1666" w:type="pct"/>
            <w:shd w:val="clear" w:color="auto" w:fill="auto"/>
            <w:noWrap/>
            <w:vAlign w:val="bottom"/>
            <w:hideMark/>
          </w:tcPr>
          <w:p w14:paraId="01F81D94" w14:textId="77777777" w:rsidR="00FD107C" w:rsidRPr="00B47608" w:rsidRDefault="00FD107C"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Altri settori</w:t>
            </w:r>
          </w:p>
        </w:tc>
        <w:tc>
          <w:tcPr>
            <w:tcW w:w="718" w:type="pct"/>
            <w:shd w:val="clear" w:color="auto" w:fill="auto"/>
            <w:noWrap/>
            <w:vAlign w:val="bottom"/>
            <w:hideMark/>
          </w:tcPr>
          <w:p w14:paraId="26935D81" w14:textId="2C6E9881" w:rsidR="00FD107C" w:rsidRPr="00B47608" w:rsidRDefault="00FD107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51,0</w:t>
            </w:r>
          </w:p>
        </w:tc>
        <w:tc>
          <w:tcPr>
            <w:tcW w:w="654" w:type="pct"/>
            <w:shd w:val="clear" w:color="auto" w:fill="auto"/>
            <w:noWrap/>
            <w:vAlign w:val="bottom"/>
            <w:hideMark/>
          </w:tcPr>
          <w:p w14:paraId="7E76F42E" w14:textId="29DD53AC" w:rsidR="00FD107C" w:rsidRPr="00B47608" w:rsidRDefault="00FD107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41,3</w:t>
            </w:r>
          </w:p>
        </w:tc>
        <w:tc>
          <w:tcPr>
            <w:tcW w:w="654" w:type="pct"/>
            <w:shd w:val="clear" w:color="auto" w:fill="auto"/>
            <w:noWrap/>
            <w:vAlign w:val="bottom"/>
            <w:hideMark/>
          </w:tcPr>
          <w:p w14:paraId="34828325" w14:textId="2ADFB9EA" w:rsidR="00FD107C" w:rsidRPr="00B47608" w:rsidRDefault="00FD107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2,9</w:t>
            </w:r>
          </w:p>
        </w:tc>
        <w:tc>
          <w:tcPr>
            <w:tcW w:w="654" w:type="pct"/>
            <w:shd w:val="clear" w:color="auto" w:fill="auto"/>
            <w:noWrap/>
            <w:vAlign w:val="bottom"/>
            <w:hideMark/>
          </w:tcPr>
          <w:p w14:paraId="0DEDF4CA" w14:textId="63EC03F9" w:rsidR="00FD107C" w:rsidRPr="00B47608" w:rsidRDefault="00FD107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4,8</w:t>
            </w:r>
          </w:p>
        </w:tc>
        <w:tc>
          <w:tcPr>
            <w:tcW w:w="654" w:type="pct"/>
            <w:shd w:val="clear" w:color="auto" w:fill="auto"/>
            <w:noWrap/>
            <w:vAlign w:val="bottom"/>
            <w:hideMark/>
          </w:tcPr>
          <w:p w14:paraId="7CD4B4C2" w14:textId="22CF6301" w:rsidR="00FD107C" w:rsidRPr="00B47608" w:rsidRDefault="00FD107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w:t>
            </w:r>
          </w:p>
        </w:tc>
      </w:tr>
      <w:tr w:rsidR="00FD107C" w:rsidRPr="00B47608" w14:paraId="33FAF83A" w14:textId="77777777" w:rsidTr="00231CA5">
        <w:trPr>
          <w:trHeight w:val="288"/>
        </w:trPr>
        <w:tc>
          <w:tcPr>
            <w:tcW w:w="1666" w:type="pct"/>
            <w:shd w:val="clear" w:color="auto" w:fill="auto"/>
            <w:noWrap/>
            <w:vAlign w:val="bottom"/>
            <w:hideMark/>
          </w:tcPr>
          <w:p w14:paraId="0E7414CF" w14:textId="77777777" w:rsidR="00FD107C" w:rsidRPr="00B47608" w:rsidRDefault="00FD107C"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Metalmeccanica</w:t>
            </w:r>
          </w:p>
        </w:tc>
        <w:tc>
          <w:tcPr>
            <w:tcW w:w="718" w:type="pct"/>
            <w:shd w:val="clear" w:color="auto" w:fill="auto"/>
            <w:noWrap/>
            <w:vAlign w:val="bottom"/>
            <w:hideMark/>
          </w:tcPr>
          <w:p w14:paraId="164EFC74" w14:textId="5F51E3ED" w:rsidR="00FD107C" w:rsidRPr="00B47608" w:rsidRDefault="00FD107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46,5</w:t>
            </w:r>
          </w:p>
        </w:tc>
        <w:tc>
          <w:tcPr>
            <w:tcW w:w="654" w:type="pct"/>
            <w:shd w:val="clear" w:color="auto" w:fill="auto"/>
            <w:noWrap/>
            <w:vAlign w:val="bottom"/>
            <w:hideMark/>
          </w:tcPr>
          <w:p w14:paraId="6F37AAE8" w14:textId="63A1D77B" w:rsidR="00FD107C" w:rsidRPr="00B47608" w:rsidRDefault="00FD107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47,1</w:t>
            </w:r>
          </w:p>
        </w:tc>
        <w:tc>
          <w:tcPr>
            <w:tcW w:w="654" w:type="pct"/>
            <w:shd w:val="clear" w:color="auto" w:fill="auto"/>
            <w:noWrap/>
            <w:vAlign w:val="bottom"/>
            <w:hideMark/>
          </w:tcPr>
          <w:p w14:paraId="45A46C09" w14:textId="52D48876" w:rsidR="00FD107C" w:rsidRPr="00B47608" w:rsidRDefault="00FD107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2,5</w:t>
            </w:r>
          </w:p>
        </w:tc>
        <w:tc>
          <w:tcPr>
            <w:tcW w:w="654" w:type="pct"/>
            <w:shd w:val="clear" w:color="auto" w:fill="auto"/>
            <w:noWrap/>
            <w:vAlign w:val="bottom"/>
            <w:hideMark/>
          </w:tcPr>
          <w:p w14:paraId="4FD16285" w14:textId="3E83FD98" w:rsidR="00FD107C" w:rsidRPr="00B47608" w:rsidRDefault="00FD107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3,9</w:t>
            </w:r>
          </w:p>
        </w:tc>
        <w:tc>
          <w:tcPr>
            <w:tcW w:w="654" w:type="pct"/>
            <w:shd w:val="clear" w:color="auto" w:fill="auto"/>
            <w:noWrap/>
            <w:vAlign w:val="bottom"/>
            <w:hideMark/>
          </w:tcPr>
          <w:p w14:paraId="2EBD6C92" w14:textId="271041B9" w:rsidR="00FD107C" w:rsidRPr="00B47608" w:rsidRDefault="00FD107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w:t>
            </w:r>
          </w:p>
        </w:tc>
      </w:tr>
      <w:tr w:rsidR="00FD107C" w:rsidRPr="00B47608" w14:paraId="5050057A" w14:textId="77777777" w:rsidTr="00231CA5">
        <w:trPr>
          <w:trHeight w:val="288"/>
        </w:trPr>
        <w:tc>
          <w:tcPr>
            <w:tcW w:w="1666" w:type="pct"/>
            <w:shd w:val="clear" w:color="auto" w:fill="auto"/>
            <w:noWrap/>
            <w:vAlign w:val="bottom"/>
            <w:hideMark/>
          </w:tcPr>
          <w:p w14:paraId="3E11A515" w14:textId="77777777" w:rsidR="00FD107C" w:rsidRPr="00B47608" w:rsidRDefault="00FD107C" w:rsidP="00ED2A57">
            <w:pPr>
              <w:spacing w:after="0" w:line="240" w:lineRule="auto"/>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Dimensioni</w:t>
            </w:r>
          </w:p>
        </w:tc>
        <w:tc>
          <w:tcPr>
            <w:tcW w:w="718" w:type="pct"/>
            <w:shd w:val="clear" w:color="auto" w:fill="auto"/>
            <w:noWrap/>
            <w:vAlign w:val="bottom"/>
            <w:hideMark/>
          </w:tcPr>
          <w:p w14:paraId="45F6F291" w14:textId="77777777" w:rsidR="00FD107C" w:rsidRPr="00B47608" w:rsidRDefault="00FD107C" w:rsidP="00ED2A57">
            <w:pPr>
              <w:spacing w:after="0" w:line="240" w:lineRule="auto"/>
              <w:jc w:val="center"/>
              <w:rPr>
                <w:rFonts w:eastAsia="Times New Roman" w:cs="Calibri"/>
                <w:b/>
                <w:bCs/>
                <w:color w:val="000000"/>
                <w:kern w:val="0"/>
                <w:lang w:eastAsia="it-IT"/>
                <w14:ligatures w14:val="none"/>
              </w:rPr>
            </w:pPr>
          </w:p>
        </w:tc>
        <w:tc>
          <w:tcPr>
            <w:tcW w:w="654" w:type="pct"/>
            <w:shd w:val="clear" w:color="auto" w:fill="auto"/>
            <w:noWrap/>
            <w:vAlign w:val="bottom"/>
            <w:hideMark/>
          </w:tcPr>
          <w:p w14:paraId="2DC479A5" w14:textId="77777777" w:rsidR="00FD107C" w:rsidRPr="00B47608" w:rsidRDefault="00FD107C" w:rsidP="00ED2A57">
            <w:pPr>
              <w:spacing w:after="0" w:line="240" w:lineRule="auto"/>
              <w:jc w:val="center"/>
              <w:rPr>
                <w:rFonts w:eastAsia="Times New Roman" w:cs="Times New Roman"/>
                <w:kern w:val="0"/>
                <w:sz w:val="20"/>
                <w:szCs w:val="20"/>
                <w:lang w:eastAsia="it-IT"/>
                <w14:ligatures w14:val="none"/>
              </w:rPr>
            </w:pPr>
          </w:p>
        </w:tc>
        <w:tc>
          <w:tcPr>
            <w:tcW w:w="654" w:type="pct"/>
            <w:shd w:val="clear" w:color="auto" w:fill="auto"/>
            <w:noWrap/>
            <w:vAlign w:val="bottom"/>
            <w:hideMark/>
          </w:tcPr>
          <w:p w14:paraId="657B8807" w14:textId="77777777" w:rsidR="00FD107C" w:rsidRPr="00B47608" w:rsidRDefault="00FD107C" w:rsidP="00ED2A57">
            <w:pPr>
              <w:spacing w:after="0" w:line="240" w:lineRule="auto"/>
              <w:jc w:val="center"/>
              <w:rPr>
                <w:rFonts w:eastAsia="Times New Roman" w:cs="Times New Roman"/>
                <w:kern w:val="0"/>
                <w:sz w:val="20"/>
                <w:szCs w:val="20"/>
                <w:lang w:eastAsia="it-IT"/>
                <w14:ligatures w14:val="none"/>
              </w:rPr>
            </w:pPr>
          </w:p>
        </w:tc>
        <w:tc>
          <w:tcPr>
            <w:tcW w:w="654" w:type="pct"/>
            <w:shd w:val="clear" w:color="auto" w:fill="auto"/>
            <w:noWrap/>
            <w:vAlign w:val="bottom"/>
            <w:hideMark/>
          </w:tcPr>
          <w:p w14:paraId="4F1E739F" w14:textId="77777777" w:rsidR="00FD107C" w:rsidRPr="00B47608" w:rsidRDefault="00FD107C" w:rsidP="00ED2A57">
            <w:pPr>
              <w:spacing w:after="0" w:line="240" w:lineRule="auto"/>
              <w:jc w:val="center"/>
              <w:rPr>
                <w:rFonts w:eastAsia="Times New Roman" w:cs="Times New Roman"/>
                <w:kern w:val="0"/>
                <w:sz w:val="20"/>
                <w:szCs w:val="20"/>
                <w:lang w:eastAsia="it-IT"/>
                <w14:ligatures w14:val="none"/>
              </w:rPr>
            </w:pPr>
          </w:p>
        </w:tc>
        <w:tc>
          <w:tcPr>
            <w:tcW w:w="654" w:type="pct"/>
            <w:shd w:val="clear" w:color="auto" w:fill="auto"/>
            <w:noWrap/>
            <w:vAlign w:val="bottom"/>
            <w:hideMark/>
          </w:tcPr>
          <w:p w14:paraId="5E4676FF" w14:textId="77777777" w:rsidR="00FD107C" w:rsidRPr="00B47608" w:rsidRDefault="00FD107C" w:rsidP="00ED2A57">
            <w:pPr>
              <w:spacing w:after="0" w:line="240" w:lineRule="auto"/>
              <w:jc w:val="center"/>
              <w:rPr>
                <w:rFonts w:eastAsia="Times New Roman" w:cs="Times New Roman"/>
                <w:kern w:val="0"/>
                <w:sz w:val="20"/>
                <w:szCs w:val="20"/>
                <w:lang w:eastAsia="it-IT"/>
                <w14:ligatures w14:val="none"/>
              </w:rPr>
            </w:pPr>
          </w:p>
        </w:tc>
      </w:tr>
      <w:tr w:rsidR="00FD107C" w:rsidRPr="00B47608" w14:paraId="692F1302" w14:textId="77777777" w:rsidTr="00231CA5">
        <w:trPr>
          <w:trHeight w:val="288"/>
        </w:trPr>
        <w:tc>
          <w:tcPr>
            <w:tcW w:w="1666" w:type="pct"/>
            <w:shd w:val="clear" w:color="auto" w:fill="auto"/>
            <w:noWrap/>
            <w:vAlign w:val="bottom"/>
            <w:hideMark/>
          </w:tcPr>
          <w:p w14:paraId="28EF084A" w14:textId="77777777" w:rsidR="00FD107C" w:rsidRPr="00B47608" w:rsidRDefault="00FD107C"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Meno di 50</w:t>
            </w:r>
          </w:p>
        </w:tc>
        <w:tc>
          <w:tcPr>
            <w:tcW w:w="718" w:type="pct"/>
            <w:shd w:val="clear" w:color="auto" w:fill="auto"/>
            <w:noWrap/>
            <w:vAlign w:val="bottom"/>
            <w:hideMark/>
          </w:tcPr>
          <w:p w14:paraId="751DD918" w14:textId="0B7C512F" w:rsidR="00FD107C" w:rsidRPr="00B47608" w:rsidRDefault="00FD107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40,0</w:t>
            </w:r>
          </w:p>
        </w:tc>
        <w:tc>
          <w:tcPr>
            <w:tcW w:w="654" w:type="pct"/>
            <w:shd w:val="clear" w:color="auto" w:fill="auto"/>
            <w:noWrap/>
            <w:vAlign w:val="bottom"/>
            <w:hideMark/>
          </w:tcPr>
          <w:p w14:paraId="151E623C" w14:textId="3B433A03" w:rsidR="00FD107C" w:rsidRPr="00B47608" w:rsidRDefault="00FD107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52,4</w:t>
            </w:r>
          </w:p>
        </w:tc>
        <w:tc>
          <w:tcPr>
            <w:tcW w:w="654" w:type="pct"/>
            <w:shd w:val="clear" w:color="auto" w:fill="auto"/>
            <w:noWrap/>
            <w:vAlign w:val="bottom"/>
            <w:hideMark/>
          </w:tcPr>
          <w:p w14:paraId="49AB5CA8" w14:textId="1D1558F0" w:rsidR="00FD107C" w:rsidRPr="00B47608" w:rsidRDefault="00FD107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3,3</w:t>
            </w:r>
          </w:p>
        </w:tc>
        <w:tc>
          <w:tcPr>
            <w:tcW w:w="654" w:type="pct"/>
            <w:shd w:val="clear" w:color="auto" w:fill="auto"/>
            <w:noWrap/>
            <w:vAlign w:val="bottom"/>
            <w:hideMark/>
          </w:tcPr>
          <w:p w14:paraId="4E0E7019" w14:textId="5701AC7A" w:rsidR="00FD107C" w:rsidRPr="00B47608" w:rsidRDefault="00FD107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4,2</w:t>
            </w:r>
          </w:p>
        </w:tc>
        <w:tc>
          <w:tcPr>
            <w:tcW w:w="654" w:type="pct"/>
            <w:shd w:val="clear" w:color="auto" w:fill="auto"/>
            <w:noWrap/>
            <w:vAlign w:val="bottom"/>
            <w:hideMark/>
          </w:tcPr>
          <w:p w14:paraId="1AEF4B79" w14:textId="29698D84" w:rsidR="00FD107C" w:rsidRPr="00B47608" w:rsidRDefault="00FD107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w:t>
            </w:r>
          </w:p>
        </w:tc>
      </w:tr>
      <w:tr w:rsidR="00FD107C" w:rsidRPr="00B47608" w14:paraId="6E7145F8" w14:textId="77777777" w:rsidTr="00231CA5">
        <w:trPr>
          <w:trHeight w:val="288"/>
        </w:trPr>
        <w:tc>
          <w:tcPr>
            <w:tcW w:w="1666" w:type="pct"/>
            <w:shd w:val="clear" w:color="auto" w:fill="auto"/>
            <w:noWrap/>
            <w:vAlign w:val="bottom"/>
            <w:hideMark/>
          </w:tcPr>
          <w:p w14:paraId="4DF91A74" w14:textId="77777777" w:rsidR="00FD107C" w:rsidRPr="00B47608" w:rsidRDefault="00FD107C"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50 e più</w:t>
            </w:r>
          </w:p>
        </w:tc>
        <w:tc>
          <w:tcPr>
            <w:tcW w:w="718" w:type="pct"/>
            <w:shd w:val="clear" w:color="auto" w:fill="auto"/>
            <w:noWrap/>
            <w:vAlign w:val="bottom"/>
            <w:hideMark/>
          </w:tcPr>
          <w:p w14:paraId="6878AF1A" w14:textId="7812F606" w:rsidR="00FD107C" w:rsidRPr="00B47608" w:rsidRDefault="00FD107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65,2</w:t>
            </w:r>
          </w:p>
        </w:tc>
        <w:tc>
          <w:tcPr>
            <w:tcW w:w="654" w:type="pct"/>
            <w:shd w:val="clear" w:color="auto" w:fill="auto"/>
            <w:noWrap/>
            <w:vAlign w:val="bottom"/>
            <w:hideMark/>
          </w:tcPr>
          <w:p w14:paraId="78E265EA" w14:textId="0A75437D" w:rsidR="00FD107C" w:rsidRPr="00B47608" w:rsidRDefault="00FD107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28,3</w:t>
            </w:r>
          </w:p>
        </w:tc>
        <w:tc>
          <w:tcPr>
            <w:tcW w:w="654" w:type="pct"/>
            <w:shd w:val="clear" w:color="auto" w:fill="auto"/>
            <w:noWrap/>
            <w:vAlign w:val="bottom"/>
            <w:hideMark/>
          </w:tcPr>
          <w:p w14:paraId="206CAA4F" w14:textId="4FAAB6E6" w:rsidR="00FD107C" w:rsidRPr="00B47608" w:rsidRDefault="00FD107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1,8</w:t>
            </w:r>
          </w:p>
        </w:tc>
        <w:tc>
          <w:tcPr>
            <w:tcW w:w="654" w:type="pct"/>
            <w:shd w:val="clear" w:color="auto" w:fill="auto"/>
            <w:noWrap/>
            <w:vAlign w:val="bottom"/>
            <w:hideMark/>
          </w:tcPr>
          <w:p w14:paraId="03CE6C8C" w14:textId="63378100" w:rsidR="00FD107C" w:rsidRPr="00B47608" w:rsidRDefault="00FD107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4,7</w:t>
            </w:r>
          </w:p>
        </w:tc>
        <w:tc>
          <w:tcPr>
            <w:tcW w:w="654" w:type="pct"/>
            <w:shd w:val="clear" w:color="auto" w:fill="auto"/>
            <w:noWrap/>
            <w:vAlign w:val="bottom"/>
            <w:hideMark/>
          </w:tcPr>
          <w:p w14:paraId="2126F427" w14:textId="6F5ACCA5" w:rsidR="00FD107C" w:rsidRPr="00B47608" w:rsidRDefault="00FD107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w:t>
            </w:r>
          </w:p>
        </w:tc>
      </w:tr>
      <w:tr w:rsidR="00680DED" w:rsidRPr="00B47608" w14:paraId="6E776D62" w14:textId="77777777" w:rsidTr="00231CA5">
        <w:trPr>
          <w:trHeight w:val="288"/>
        </w:trPr>
        <w:tc>
          <w:tcPr>
            <w:tcW w:w="1666" w:type="pct"/>
            <w:shd w:val="clear" w:color="auto" w:fill="auto"/>
            <w:noWrap/>
            <w:vAlign w:val="bottom"/>
            <w:hideMark/>
          </w:tcPr>
          <w:p w14:paraId="13F58905" w14:textId="77777777" w:rsidR="00680DED" w:rsidRPr="00B47608" w:rsidRDefault="00680DED" w:rsidP="00ED2A57">
            <w:pPr>
              <w:spacing w:after="0" w:line="240" w:lineRule="auto"/>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Intensità di esportazione</w:t>
            </w:r>
          </w:p>
        </w:tc>
        <w:tc>
          <w:tcPr>
            <w:tcW w:w="718" w:type="pct"/>
            <w:shd w:val="clear" w:color="auto" w:fill="auto"/>
            <w:vAlign w:val="bottom"/>
          </w:tcPr>
          <w:p w14:paraId="0A963814" w14:textId="7787131F" w:rsidR="00680DED" w:rsidRPr="00B47608" w:rsidRDefault="00680DED" w:rsidP="00ED2A57">
            <w:pPr>
              <w:spacing w:after="0" w:line="240" w:lineRule="auto"/>
              <w:rPr>
                <w:rFonts w:eastAsia="Times New Roman" w:cs="Calibri"/>
                <w:b/>
                <w:bCs/>
                <w:color w:val="000000"/>
                <w:kern w:val="0"/>
                <w:lang w:eastAsia="it-IT"/>
                <w14:ligatures w14:val="none"/>
              </w:rPr>
            </w:pPr>
          </w:p>
        </w:tc>
        <w:tc>
          <w:tcPr>
            <w:tcW w:w="654" w:type="pct"/>
            <w:shd w:val="clear" w:color="auto" w:fill="auto"/>
            <w:noWrap/>
            <w:vAlign w:val="bottom"/>
            <w:hideMark/>
          </w:tcPr>
          <w:p w14:paraId="3FF209D8" w14:textId="77777777" w:rsidR="00680DED" w:rsidRPr="00B47608" w:rsidRDefault="00680DED" w:rsidP="00ED2A57">
            <w:pPr>
              <w:spacing w:after="0" w:line="240" w:lineRule="auto"/>
              <w:jc w:val="center"/>
              <w:rPr>
                <w:rFonts w:eastAsia="Times New Roman" w:cs="Calibri"/>
                <w:b/>
                <w:bCs/>
                <w:color w:val="000000"/>
                <w:kern w:val="0"/>
                <w:lang w:eastAsia="it-IT"/>
                <w14:ligatures w14:val="none"/>
              </w:rPr>
            </w:pPr>
          </w:p>
        </w:tc>
        <w:tc>
          <w:tcPr>
            <w:tcW w:w="654" w:type="pct"/>
            <w:shd w:val="clear" w:color="auto" w:fill="auto"/>
            <w:noWrap/>
            <w:vAlign w:val="bottom"/>
            <w:hideMark/>
          </w:tcPr>
          <w:p w14:paraId="43706E3F" w14:textId="77777777" w:rsidR="00680DED" w:rsidRPr="00B47608" w:rsidRDefault="00680DED" w:rsidP="00ED2A57">
            <w:pPr>
              <w:spacing w:after="0" w:line="240" w:lineRule="auto"/>
              <w:jc w:val="center"/>
              <w:rPr>
                <w:rFonts w:eastAsia="Times New Roman" w:cs="Times New Roman"/>
                <w:kern w:val="0"/>
                <w:sz w:val="20"/>
                <w:szCs w:val="20"/>
                <w:lang w:eastAsia="it-IT"/>
                <w14:ligatures w14:val="none"/>
              </w:rPr>
            </w:pPr>
          </w:p>
        </w:tc>
        <w:tc>
          <w:tcPr>
            <w:tcW w:w="654" w:type="pct"/>
            <w:shd w:val="clear" w:color="auto" w:fill="auto"/>
            <w:noWrap/>
            <w:vAlign w:val="bottom"/>
            <w:hideMark/>
          </w:tcPr>
          <w:p w14:paraId="4B424B5D" w14:textId="77777777" w:rsidR="00680DED" w:rsidRPr="00B47608" w:rsidRDefault="00680DED" w:rsidP="00ED2A57">
            <w:pPr>
              <w:spacing w:after="0" w:line="240" w:lineRule="auto"/>
              <w:jc w:val="center"/>
              <w:rPr>
                <w:rFonts w:eastAsia="Times New Roman" w:cs="Times New Roman"/>
                <w:kern w:val="0"/>
                <w:sz w:val="20"/>
                <w:szCs w:val="20"/>
                <w:lang w:eastAsia="it-IT"/>
                <w14:ligatures w14:val="none"/>
              </w:rPr>
            </w:pPr>
          </w:p>
        </w:tc>
        <w:tc>
          <w:tcPr>
            <w:tcW w:w="654" w:type="pct"/>
            <w:shd w:val="clear" w:color="auto" w:fill="auto"/>
            <w:noWrap/>
            <w:vAlign w:val="bottom"/>
            <w:hideMark/>
          </w:tcPr>
          <w:p w14:paraId="49521EE1" w14:textId="77777777" w:rsidR="00680DED" w:rsidRPr="00B47608" w:rsidRDefault="00680DED" w:rsidP="00ED2A57">
            <w:pPr>
              <w:spacing w:after="0" w:line="240" w:lineRule="auto"/>
              <w:jc w:val="center"/>
              <w:rPr>
                <w:rFonts w:eastAsia="Times New Roman" w:cs="Times New Roman"/>
                <w:kern w:val="0"/>
                <w:sz w:val="20"/>
                <w:szCs w:val="20"/>
                <w:lang w:eastAsia="it-IT"/>
                <w14:ligatures w14:val="none"/>
              </w:rPr>
            </w:pPr>
          </w:p>
        </w:tc>
      </w:tr>
      <w:tr w:rsidR="00FD107C" w:rsidRPr="00B47608" w14:paraId="7CBD282F" w14:textId="77777777" w:rsidTr="00231CA5">
        <w:trPr>
          <w:trHeight w:val="288"/>
        </w:trPr>
        <w:tc>
          <w:tcPr>
            <w:tcW w:w="1666" w:type="pct"/>
            <w:shd w:val="clear" w:color="auto" w:fill="auto"/>
            <w:noWrap/>
            <w:vAlign w:val="bottom"/>
            <w:hideMark/>
          </w:tcPr>
          <w:p w14:paraId="76AC4C06" w14:textId="77777777" w:rsidR="00FD107C" w:rsidRPr="00B47608" w:rsidRDefault="00FD107C"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Non esportatori</w:t>
            </w:r>
          </w:p>
        </w:tc>
        <w:tc>
          <w:tcPr>
            <w:tcW w:w="718" w:type="pct"/>
            <w:shd w:val="clear" w:color="auto" w:fill="auto"/>
            <w:noWrap/>
            <w:vAlign w:val="bottom"/>
            <w:hideMark/>
          </w:tcPr>
          <w:p w14:paraId="4AED7319" w14:textId="7996C87A" w:rsidR="00FD107C" w:rsidRPr="00B47608" w:rsidRDefault="00FD107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37,6</w:t>
            </w:r>
          </w:p>
        </w:tc>
        <w:tc>
          <w:tcPr>
            <w:tcW w:w="654" w:type="pct"/>
            <w:shd w:val="clear" w:color="auto" w:fill="auto"/>
            <w:noWrap/>
            <w:vAlign w:val="bottom"/>
            <w:hideMark/>
          </w:tcPr>
          <w:p w14:paraId="126555BC" w14:textId="2895F03A" w:rsidR="00FD107C" w:rsidRPr="00B47608" w:rsidRDefault="00FD107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44,9</w:t>
            </w:r>
          </w:p>
        </w:tc>
        <w:tc>
          <w:tcPr>
            <w:tcW w:w="654" w:type="pct"/>
            <w:shd w:val="clear" w:color="auto" w:fill="auto"/>
            <w:noWrap/>
            <w:vAlign w:val="bottom"/>
            <w:hideMark/>
          </w:tcPr>
          <w:p w14:paraId="5496C3FE" w14:textId="1B2D96F2" w:rsidR="00FD107C" w:rsidRPr="00B47608" w:rsidRDefault="00FD107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3,2</w:t>
            </w:r>
          </w:p>
        </w:tc>
        <w:tc>
          <w:tcPr>
            <w:tcW w:w="654" w:type="pct"/>
            <w:shd w:val="clear" w:color="auto" w:fill="auto"/>
            <w:noWrap/>
            <w:vAlign w:val="bottom"/>
            <w:hideMark/>
          </w:tcPr>
          <w:p w14:paraId="36E9D80B" w14:textId="3F048C65" w:rsidR="00FD107C" w:rsidRPr="00B47608" w:rsidRDefault="00FD107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14,3</w:t>
            </w:r>
          </w:p>
        </w:tc>
        <w:tc>
          <w:tcPr>
            <w:tcW w:w="654" w:type="pct"/>
            <w:shd w:val="clear" w:color="auto" w:fill="auto"/>
            <w:noWrap/>
            <w:vAlign w:val="bottom"/>
            <w:hideMark/>
          </w:tcPr>
          <w:p w14:paraId="4411DFA2" w14:textId="38104BD1" w:rsidR="00FD107C" w:rsidRPr="00B47608" w:rsidRDefault="00FD107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w:t>
            </w:r>
          </w:p>
        </w:tc>
      </w:tr>
      <w:tr w:rsidR="00FD107C" w:rsidRPr="00B47608" w14:paraId="54119E7E" w14:textId="77777777" w:rsidTr="00231CA5">
        <w:trPr>
          <w:trHeight w:val="288"/>
        </w:trPr>
        <w:tc>
          <w:tcPr>
            <w:tcW w:w="1666" w:type="pct"/>
            <w:shd w:val="clear" w:color="auto" w:fill="auto"/>
            <w:noWrap/>
            <w:vAlign w:val="bottom"/>
            <w:hideMark/>
          </w:tcPr>
          <w:p w14:paraId="7FBB8736" w14:textId="77777777" w:rsidR="00FD107C" w:rsidRPr="00B47608" w:rsidRDefault="00FD107C"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Bassa intensità di export</w:t>
            </w:r>
          </w:p>
        </w:tc>
        <w:tc>
          <w:tcPr>
            <w:tcW w:w="718" w:type="pct"/>
            <w:shd w:val="clear" w:color="auto" w:fill="auto"/>
            <w:noWrap/>
            <w:vAlign w:val="bottom"/>
            <w:hideMark/>
          </w:tcPr>
          <w:p w14:paraId="583F116F" w14:textId="630C88D2" w:rsidR="00FD107C" w:rsidRPr="00B47608" w:rsidRDefault="00FD107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40,9</w:t>
            </w:r>
          </w:p>
        </w:tc>
        <w:tc>
          <w:tcPr>
            <w:tcW w:w="654" w:type="pct"/>
            <w:shd w:val="clear" w:color="auto" w:fill="auto"/>
            <w:noWrap/>
            <w:vAlign w:val="bottom"/>
            <w:hideMark/>
          </w:tcPr>
          <w:p w14:paraId="068CC20B" w14:textId="72E9D4CD" w:rsidR="00FD107C" w:rsidRPr="00B47608" w:rsidRDefault="00FD107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49,1</w:t>
            </w:r>
          </w:p>
        </w:tc>
        <w:tc>
          <w:tcPr>
            <w:tcW w:w="654" w:type="pct"/>
            <w:shd w:val="clear" w:color="auto" w:fill="auto"/>
            <w:noWrap/>
            <w:vAlign w:val="bottom"/>
            <w:hideMark/>
          </w:tcPr>
          <w:p w14:paraId="60FCD6FE" w14:textId="0F95A7A0" w:rsidR="00FD107C" w:rsidRPr="00B47608" w:rsidRDefault="00FD107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2,8</w:t>
            </w:r>
          </w:p>
        </w:tc>
        <w:tc>
          <w:tcPr>
            <w:tcW w:w="654" w:type="pct"/>
            <w:shd w:val="clear" w:color="auto" w:fill="auto"/>
            <w:noWrap/>
            <w:vAlign w:val="bottom"/>
            <w:hideMark/>
          </w:tcPr>
          <w:p w14:paraId="5ED0B48D" w14:textId="7B4C4F02" w:rsidR="00FD107C" w:rsidRPr="00B47608" w:rsidRDefault="00FD107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7,2</w:t>
            </w:r>
          </w:p>
        </w:tc>
        <w:tc>
          <w:tcPr>
            <w:tcW w:w="654" w:type="pct"/>
            <w:shd w:val="clear" w:color="auto" w:fill="auto"/>
            <w:noWrap/>
            <w:vAlign w:val="bottom"/>
            <w:hideMark/>
          </w:tcPr>
          <w:p w14:paraId="07AB5CBE" w14:textId="073AEFFA" w:rsidR="00FD107C" w:rsidRPr="00B47608" w:rsidRDefault="00FD107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w:t>
            </w:r>
          </w:p>
        </w:tc>
      </w:tr>
      <w:tr w:rsidR="00FD107C" w:rsidRPr="00B47608" w14:paraId="509DA3A5" w14:textId="77777777" w:rsidTr="00231CA5">
        <w:trPr>
          <w:trHeight w:val="288"/>
        </w:trPr>
        <w:tc>
          <w:tcPr>
            <w:tcW w:w="1666" w:type="pct"/>
            <w:shd w:val="clear" w:color="auto" w:fill="auto"/>
            <w:noWrap/>
            <w:vAlign w:val="bottom"/>
            <w:hideMark/>
          </w:tcPr>
          <w:p w14:paraId="42FA2DD3" w14:textId="77777777" w:rsidR="00FD107C" w:rsidRPr="00B47608" w:rsidRDefault="00FD107C"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Media intensità di export</w:t>
            </w:r>
          </w:p>
        </w:tc>
        <w:tc>
          <w:tcPr>
            <w:tcW w:w="718" w:type="pct"/>
            <w:shd w:val="clear" w:color="auto" w:fill="auto"/>
            <w:noWrap/>
            <w:vAlign w:val="bottom"/>
            <w:hideMark/>
          </w:tcPr>
          <w:p w14:paraId="12BCE0A1" w14:textId="7BE0DDEE" w:rsidR="00FD107C" w:rsidRPr="00B47608" w:rsidRDefault="00FD107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52,6</w:t>
            </w:r>
          </w:p>
        </w:tc>
        <w:tc>
          <w:tcPr>
            <w:tcW w:w="654" w:type="pct"/>
            <w:shd w:val="clear" w:color="auto" w:fill="auto"/>
            <w:noWrap/>
            <w:vAlign w:val="bottom"/>
            <w:hideMark/>
          </w:tcPr>
          <w:p w14:paraId="73024652" w14:textId="7CAEEC64" w:rsidR="00FD107C" w:rsidRPr="00B47608" w:rsidRDefault="00FD107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44,6</w:t>
            </w:r>
          </w:p>
        </w:tc>
        <w:tc>
          <w:tcPr>
            <w:tcW w:w="654" w:type="pct"/>
            <w:shd w:val="clear" w:color="auto" w:fill="auto"/>
            <w:noWrap/>
            <w:vAlign w:val="bottom"/>
            <w:hideMark/>
          </w:tcPr>
          <w:p w14:paraId="39509CB8" w14:textId="5DAFBF1F" w:rsidR="00FD107C" w:rsidRPr="00B47608" w:rsidRDefault="00FD107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1,2</w:t>
            </w:r>
          </w:p>
        </w:tc>
        <w:tc>
          <w:tcPr>
            <w:tcW w:w="654" w:type="pct"/>
            <w:shd w:val="clear" w:color="auto" w:fill="auto"/>
            <w:noWrap/>
            <w:vAlign w:val="bottom"/>
            <w:hideMark/>
          </w:tcPr>
          <w:p w14:paraId="64990C18" w14:textId="3A43FFC6" w:rsidR="00FD107C" w:rsidRPr="00B47608" w:rsidRDefault="00FD107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1,6</w:t>
            </w:r>
          </w:p>
        </w:tc>
        <w:tc>
          <w:tcPr>
            <w:tcW w:w="654" w:type="pct"/>
            <w:shd w:val="clear" w:color="auto" w:fill="auto"/>
            <w:noWrap/>
            <w:vAlign w:val="bottom"/>
            <w:hideMark/>
          </w:tcPr>
          <w:p w14:paraId="5E71D8F9" w14:textId="702EF3CE" w:rsidR="00FD107C" w:rsidRPr="00B47608" w:rsidRDefault="00FD107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w:t>
            </w:r>
          </w:p>
        </w:tc>
      </w:tr>
      <w:tr w:rsidR="00FD107C" w:rsidRPr="00B47608" w14:paraId="350E1A55" w14:textId="77777777" w:rsidTr="00231CA5">
        <w:trPr>
          <w:trHeight w:val="288"/>
        </w:trPr>
        <w:tc>
          <w:tcPr>
            <w:tcW w:w="1666" w:type="pct"/>
            <w:shd w:val="clear" w:color="auto" w:fill="auto"/>
            <w:noWrap/>
            <w:vAlign w:val="bottom"/>
            <w:hideMark/>
          </w:tcPr>
          <w:p w14:paraId="4A9BCCF4" w14:textId="77777777" w:rsidR="00FD107C" w:rsidRPr="00B47608" w:rsidRDefault="00FD107C"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Alta intensità di export</w:t>
            </w:r>
          </w:p>
        </w:tc>
        <w:tc>
          <w:tcPr>
            <w:tcW w:w="718" w:type="pct"/>
            <w:shd w:val="clear" w:color="auto" w:fill="auto"/>
            <w:noWrap/>
            <w:vAlign w:val="bottom"/>
            <w:hideMark/>
          </w:tcPr>
          <w:p w14:paraId="56128894" w14:textId="7B6011FD" w:rsidR="00FD107C" w:rsidRPr="00B47608" w:rsidRDefault="00FD107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56,7</w:t>
            </w:r>
          </w:p>
        </w:tc>
        <w:tc>
          <w:tcPr>
            <w:tcW w:w="654" w:type="pct"/>
            <w:shd w:val="clear" w:color="auto" w:fill="auto"/>
            <w:noWrap/>
            <w:vAlign w:val="bottom"/>
            <w:hideMark/>
          </w:tcPr>
          <w:p w14:paraId="200E6ABD" w14:textId="2F9F0668" w:rsidR="00FD107C" w:rsidRPr="00B47608" w:rsidRDefault="00FD107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37,5</w:t>
            </w:r>
          </w:p>
        </w:tc>
        <w:tc>
          <w:tcPr>
            <w:tcW w:w="654" w:type="pct"/>
            <w:shd w:val="clear" w:color="auto" w:fill="auto"/>
            <w:noWrap/>
            <w:vAlign w:val="bottom"/>
            <w:hideMark/>
          </w:tcPr>
          <w:p w14:paraId="64218762" w14:textId="02C5820D" w:rsidR="00FD107C" w:rsidRPr="00B47608" w:rsidRDefault="00FD107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3,9</w:t>
            </w:r>
          </w:p>
        </w:tc>
        <w:tc>
          <w:tcPr>
            <w:tcW w:w="654" w:type="pct"/>
            <w:shd w:val="clear" w:color="auto" w:fill="auto"/>
            <w:noWrap/>
            <w:vAlign w:val="bottom"/>
            <w:hideMark/>
          </w:tcPr>
          <w:p w14:paraId="7553B9AD" w14:textId="6E1ADE06" w:rsidR="00FD107C" w:rsidRPr="00B47608" w:rsidRDefault="00FD107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1,9</w:t>
            </w:r>
          </w:p>
        </w:tc>
        <w:tc>
          <w:tcPr>
            <w:tcW w:w="654" w:type="pct"/>
            <w:shd w:val="clear" w:color="auto" w:fill="auto"/>
            <w:noWrap/>
            <w:vAlign w:val="bottom"/>
            <w:hideMark/>
          </w:tcPr>
          <w:p w14:paraId="28072473" w14:textId="0445CE75" w:rsidR="00FD107C" w:rsidRPr="00B47608" w:rsidRDefault="00FD107C"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w:t>
            </w:r>
          </w:p>
        </w:tc>
      </w:tr>
    </w:tbl>
    <w:p w14:paraId="1FF98BC7" w14:textId="77777777" w:rsidR="00FD107C" w:rsidRPr="00B47608" w:rsidRDefault="00FD107C" w:rsidP="00ED2A57">
      <w:pPr>
        <w:spacing w:after="0"/>
      </w:pPr>
      <w:r w:rsidRPr="00B47608">
        <w:t>Fonte: Fondazione Nord Est (463 casi)</w:t>
      </w:r>
    </w:p>
    <w:p w14:paraId="0CAC99A5" w14:textId="77777777" w:rsidR="00FD107C" w:rsidRPr="00B47608" w:rsidRDefault="00FD107C" w:rsidP="00ED2A57">
      <w:pPr>
        <w:spacing w:after="0"/>
      </w:pPr>
    </w:p>
    <w:p w14:paraId="4B03977F" w14:textId="5AAABDC2" w:rsidR="00000EE5" w:rsidRPr="00B47608" w:rsidRDefault="00F81196" w:rsidP="00ED2A57">
      <w:pPr>
        <w:spacing w:after="0"/>
        <w:jc w:val="both"/>
      </w:pPr>
      <w:r w:rsidRPr="00B47608">
        <w:t>Le differenze emergono anche in base alla dimensione aziendale: le imprese di grandi dimensioni (65,2%) riportano un maggior aumento di interesse di clienti e fornitori internazionali verso la sostenibilità ambientale rispetto a quelle di minori dimensioni (40%). Infatti, il 52,4% delle imprese più piccole segnala che l’interesse è rimasto stabile nel tempo. Infine, considerando l’intensità di esportazione, l’aumento d’interesse di clienti e fornitori internazionali verso la sostenibilità ambientale è più evidente nelle imprese ad alta intensità (56,7%) e a media intensità (52,6%) di export, mentre nelle imprese a bassa intensità di export e in quelle non esportatrici risulta essere rimasto per lo più stabile negli ultimi anni.</w:t>
      </w:r>
    </w:p>
    <w:p w14:paraId="66CA10DE" w14:textId="77777777" w:rsidR="00000EE5" w:rsidRPr="00B47608" w:rsidRDefault="00000EE5" w:rsidP="00ED2A57">
      <w:pPr>
        <w:spacing w:after="0"/>
      </w:pPr>
    </w:p>
    <w:p w14:paraId="77D89205" w14:textId="49D37ED3" w:rsidR="00F85019" w:rsidRPr="00B47608" w:rsidRDefault="00613710" w:rsidP="00ED2A57">
      <w:pPr>
        <w:spacing w:after="0"/>
        <w:jc w:val="both"/>
      </w:pPr>
      <w:bookmarkStart w:id="20" w:name="_Hlk190238678"/>
      <w:r w:rsidRPr="00B47608">
        <w:t xml:space="preserve">Le imprese non sono gli unici attori </w:t>
      </w:r>
      <w:r w:rsidR="00DC13A6" w:rsidRPr="00B47608">
        <w:t xml:space="preserve">nel processo di transizione verso una maggiore sostenibilità ambientale. Che ruolo stanno giocando </w:t>
      </w:r>
      <w:r w:rsidR="00C654F2" w:rsidRPr="00B47608">
        <w:t>investitori, partner finanziari e altri attori del sistema creditizio? Dalla rilevazione emerge che i</w:t>
      </w:r>
      <w:r w:rsidR="00085FF1" w:rsidRPr="00B47608">
        <w:t>nvestitori, partner finanziari</w:t>
      </w:r>
      <w:r w:rsidR="005B2D4F" w:rsidRPr="00B47608">
        <w:t xml:space="preserve"> e</w:t>
      </w:r>
      <w:r w:rsidR="00085FF1" w:rsidRPr="00B47608">
        <w:t xml:space="preserve"> attori del sistema creditizio hanno </w:t>
      </w:r>
      <w:r w:rsidR="00B819D8" w:rsidRPr="00B47608">
        <w:t>avanzato</w:t>
      </w:r>
      <w:r w:rsidR="00B20FE4" w:rsidRPr="00B47608">
        <w:t xml:space="preserve"> richieste in merito a politiche e performance di </w:t>
      </w:r>
      <w:r w:rsidR="00F85019" w:rsidRPr="00B47608">
        <w:t>sostenibilità</w:t>
      </w:r>
      <w:r w:rsidR="00B20FE4" w:rsidRPr="00B47608">
        <w:t xml:space="preserve"> </w:t>
      </w:r>
      <w:r w:rsidR="00F85019" w:rsidRPr="00B47608">
        <w:t>al 49,4% delle imprese intervistate</w:t>
      </w:r>
      <w:r w:rsidR="00A2397C" w:rsidRPr="00B47608">
        <w:t>, mentre i</w:t>
      </w:r>
      <w:r w:rsidR="00F85019" w:rsidRPr="00B47608">
        <w:t xml:space="preserve">l 46,4% </w:t>
      </w:r>
      <w:r w:rsidR="00A2397C" w:rsidRPr="00B47608">
        <w:t>dichiara</w:t>
      </w:r>
      <w:r w:rsidR="00F85019" w:rsidRPr="00B47608">
        <w:t xml:space="preserve"> di non aver ricevuto </w:t>
      </w:r>
      <w:r w:rsidR="00A2397C" w:rsidRPr="00B47608">
        <w:t>sollecitazioni</w:t>
      </w:r>
      <w:r w:rsidR="00F85019" w:rsidRPr="00B47608">
        <w:t xml:space="preserve"> di questo tipo. </w:t>
      </w:r>
      <w:bookmarkEnd w:id="20"/>
      <w:r w:rsidR="00A2397C" w:rsidRPr="00B47608">
        <w:t>Analizzando</w:t>
      </w:r>
      <w:r w:rsidR="00F85019" w:rsidRPr="00B47608">
        <w:t xml:space="preserve"> le risposte per macrosettore</w:t>
      </w:r>
      <w:r w:rsidR="00CA3A8E" w:rsidRPr="00B47608">
        <w:t xml:space="preserve">, </w:t>
      </w:r>
      <w:r w:rsidR="00A2397C" w:rsidRPr="00B47608">
        <w:t>emerge</w:t>
      </w:r>
      <w:r w:rsidR="00CA3A8E" w:rsidRPr="00B47608">
        <w:t xml:space="preserve"> che</w:t>
      </w:r>
      <w:r w:rsidR="002F5D17" w:rsidRPr="00B47608">
        <w:t xml:space="preserve"> </w:t>
      </w:r>
      <w:r w:rsidR="00EA31B4" w:rsidRPr="00B47608">
        <w:t>le</w:t>
      </w:r>
      <w:r w:rsidR="002F5D17" w:rsidRPr="00B47608">
        <w:t xml:space="preserve"> imprese </w:t>
      </w:r>
      <w:r w:rsidR="00CA3A8E" w:rsidRPr="00B47608">
        <w:t>metalmeccaniche</w:t>
      </w:r>
      <w:r w:rsidR="002F5D17" w:rsidRPr="00B47608">
        <w:t xml:space="preserve"> </w:t>
      </w:r>
      <w:r w:rsidR="009707CB" w:rsidRPr="00B47608">
        <w:t>(</w:t>
      </w:r>
      <w:r w:rsidR="002F5D17" w:rsidRPr="00B47608">
        <w:t>52,2%</w:t>
      </w:r>
      <w:r w:rsidR="009707CB" w:rsidRPr="00B47608">
        <w:t>)</w:t>
      </w:r>
      <w:r w:rsidR="00EA31B4" w:rsidRPr="00B47608">
        <w:t xml:space="preserve"> sono state oggetto di tali richieste in misura maggiore</w:t>
      </w:r>
      <w:r w:rsidR="009707CB" w:rsidRPr="00B47608">
        <w:t xml:space="preserve"> rispetto a</w:t>
      </w:r>
      <w:r w:rsidR="00EA31B4" w:rsidRPr="00B47608">
        <w:t>lle aziende di altri se</w:t>
      </w:r>
      <w:r w:rsidR="00DD0F39" w:rsidRPr="00B47608">
        <w:t>ttori (47,5%).</w:t>
      </w:r>
      <w:r w:rsidR="00EE72AC" w:rsidRPr="00B47608">
        <w:t xml:space="preserve"> </w:t>
      </w:r>
      <w:r w:rsidR="00EA31B4" w:rsidRPr="00B47608">
        <w:t>Considerando la</w:t>
      </w:r>
      <w:r w:rsidR="00612C53" w:rsidRPr="00B47608">
        <w:t xml:space="preserve"> dimension</w:t>
      </w:r>
      <w:r w:rsidR="00EA31B4" w:rsidRPr="00B47608">
        <w:t>e aziendale</w:t>
      </w:r>
      <w:r w:rsidR="00EE72AC" w:rsidRPr="00B47608">
        <w:t xml:space="preserve">, </w:t>
      </w:r>
      <w:r w:rsidR="0026496B" w:rsidRPr="00B47608">
        <w:t xml:space="preserve">le </w:t>
      </w:r>
      <w:r w:rsidR="00EA31B4" w:rsidRPr="00B47608">
        <w:t>imprese</w:t>
      </w:r>
      <w:r w:rsidR="0026496B" w:rsidRPr="00B47608">
        <w:t xml:space="preserve"> più grandi </w:t>
      </w:r>
      <w:r w:rsidR="00EA31B4" w:rsidRPr="00B47608">
        <w:t>risultano essere più frequentemente destinatari</w:t>
      </w:r>
      <w:r w:rsidR="004704EF" w:rsidRPr="00B47608">
        <w:t>e</w:t>
      </w:r>
      <w:r w:rsidR="00EA31B4" w:rsidRPr="00B47608">
        <w:t xml:space="preserve"> </w:t>
      </w:r>
      <w:r w:rsidR="004704EF" w:rsidRPr="00B47608">
        <w:t xml:space="preserve">di tali richieste da parte di investitori e partner finanziari </w:t>
      </w:r>
      <w:r w:rsidR="00612C53" w:rsidRPr="00B47608">
        <w:t xml:space="preserve">(63,5%) rispetto alle imprese più piccole </w:t>
      </w:r>
      <w:r w:rsidR="0000349F" w:rsidRPr="00B47608">
        <w:t>(41,4%)</w:t>
      </w:r>
      <w:r w:rsidR="00612C53" w:rsidRPr="00B47608">
        <w:t>.</w:t>
      </w:r>
      <w:r w:rsidR="0000349F" w:rsidRPr="00B47608">
        <w:t xml:space="preserve"> </w:t>
      </w:r>
    </w:p>
    <w:p w14:paraId="225F4211" w14:textId="431160E0" w:rsidR="006C6FB9" w:rsidRDefault="006C6FB9">
      <w:r>
        <w:br w:type="page"/>
      </w:r>
    </w:p>
    <w:p w14:paraId="0CBE43CD" w14:textId="77777777" w:rsidR="004F3636" w:rsidRPr="00B47608" w:rsidRDefault="004F3636" w:rsidP="00ED2A57">
      <w:pPr>
        <w:spacing w:after="0"/>
      </w:pPr>
    </w:p>
    <w:p w14:paraId="29B93D15" w14:textId="081071B4" w:rsidR="00B959D1" w:rsidRPr="00B47608" w:rsidRDefault="00613710" w:rsidP="00371246">
      <w:pPr>
        <w:spacing w:after="120" w:line="240" w:lineRule="auto"/>
        <w:jc w:val="both"/>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 xml:space="preserve">5.5 </w:t>
      </w:r>
      <w:r w:rsidR="00B959D1" w:rsidRPr="00B47608">
        <w:rPr>
          <w:rFonts w:eastAsia="Times New Roman" w:cs="Calibri"/>
          <w:b/>
          <w:bCs/>
          <w:color w:val="000000"/>
          <w:kern w:val="0"/>
          <w:lang w:eastAsia="it-IT"/>
          <w14:ligatures w14:val="none"/>
        </w:rPr>
        <w:t>Ha mai ricevuto richieste da investitori, partner finanziari, attori del sistema creditizio riguardo alle politiche e alle performance di sostenibilità dell'impresa (es. rating, rendicontazione ambientale, certificazioni…)?</w:t>
      </w:r>
      <w:r w:rsidR="006D3AAC" w:rsidRPr="00B47608">
        <w:rPr>
          <w:rFonts w:eastAsia="Times New Roman" w:cs="Calibri"/>
          <w:b/>
          <w:bCs/>
          <w:color w:val="000000"/>
          <w:kern w:val="0"/>
          <w:lang w:eastAsia="it-IT"/>
          <w14:ligatures w14:val="none"/>
        </w:rPr>
        <w:t xml:space="preserve"> Per macrosettore, dimensioni e intensità di esportazione</w:t>
      </w:r>
      <w:r w:rsidR="00231CA5" w:rsidRPr="00B47608">
        <w:rPr>
          <w:rFonts w:eastAsia="Times New Roman" w:cs="Calibri"/>
          <w:b/>
          <w:bCs/>
          <w:color w:val="000000"/>
          <w:kern w:val="0"/>
          <w:lang w:eastAsia="it-IT"/>
          <w14:ligatures w14:val="none"/>
        </w:rPr>
        <w:t xml:space="preserve"> (Val. %)</w:t>
      </w:r>
      <w:r w:rsidR="006D3AAC" w:rsidRPr="00B47608">
        <w:rPr>
          <w:rFonts w:eastAsia="Times New Roman" w:cs="Calibri"/>
          <w:b/>
          <w:bCs/>
          <w:color w:val="000000"/>
          <w:kern w:val="0"/>
          <w:lang w:eastAsia="it-IT"/>
          <w14:ligatures w14:val="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67"/>
        <w:gridCol w:w="1491"/>
        <w:gridCol w:w="1490"/>
        <w:gridCol w:w="1490"/>
        <w:gridCol w:w="1490"/>
      </w:tblGrid>
      <w:tr w:rsidR="000A32CB" w:rsidRPr="00B47608" w14:paraId="3674EA3C" w14:textId="77777777" w:rsidTr="00680DED">
        <w:trPr>
          <w:trHeight w:val="288"/>
        </w:trPr>
        <w:tc>
          <w:tcPr>
            <w:tcW w:w="1904" w:type="pct"/>
            <w:shd w:val="clear" w:color="auto" w:fill="auto"/>
            <w:noWrap/>
            <w:vAlign w:val="bottom"/>
            <w:hideMark/>
          </w:tcPr>
          <w:p w14:paraId="40739D0F" w14:textId="77777777" w:rsidR="000A32CB" w:rsidRPr="00B47608" w:rsidRDefault="000A32CB" w:rsidP="00ED2A57">
            <w:pPr>
              <w:spacing w:after="0" w:line="240" w:lineRule="auto"/>
              <w:rPr>
                <w:rFonts w:eastAsia="Times New Roman" w:cs="Times New Roman"/>
                <w:kern w:val="0"/>
                <w:sz w:val="24"/>
                <w:szCs w:val="24"/>
                <w:lang w:eastAsia="it-IT"/>
                <w14:ligatures w14:val="none"/>
              </w:rPr>
            </w:pPr>
          </w:p>
        </w:tc>
        <w:tc>
          <w:tcPr>
            <w:tcW w:w="774" w:type="pct"/>
            <w:shd w:val="clear" w:color="auto" w:fill="auto"/>
            <w:noWrap/>
            <w:vAlign w:val="bottom"/>
            <w:hideMark/>
          </w:tcPr>
          <w:p w14:paraId="2E5D1DA5" w14:textId="77777777" w:rsidR="000A32CB" w:rsidRPr="00B47608" w:rsidRDefault="000A32CB"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Sì</w:t>
            </w:r>
          </w:p>
        </w:tc>
        <w:tc>
          <w:tcPr>
            <w:tcW w:w="774" w:type="pct"/>
            <w:shd w:val="clear" w:color="auto" w:fill="auto"/>
            <w:noWrap/>
            <w:vAlign w:val="bottom"/>
            <w:hideMark/>
          </w:tcPr>
          <w:p w14:paraId="45470A93" w14:textId="77777777" w:rsidR="000A32CB" w:rsidRPr="00B47608" w:rsidRDefault="000A32CB"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No</w:t>
            </w:r>
          </w:p>
        </w:tc>
        <w:tc>
          <w:tcPr>
            <w:tcW w:w="774" w:type="pct"/>
            <w:shd w:val="clear" w:color="auto" w:fill="auto"/>
            <w:noWrap/>
            <w:vAlign w:val="bottom"/>
            <w:hideMark/>
          </w:tcPr>
          <w:p w14:paraId="516D75C1" w14:textId="77777777" w:rsidR="000A32CB" w:rsidRPr="00B47608" w:rsidRDefault="000A32CB" w:rsidP="00ED2A57">
            <w:pPr>
              <w:spacing w:after="0" w:line="240" w:lineRule="auto"/>
              <w:jc w:val="center"/>
              <w:rPr>
                <w:rFonts w:eastAsia="Times New Roman" w:cs="Calibri"/>
                <w:b/>
                <w:bCs/>
                <w:color w:val="000000"/>
                <w:kern w:val="0"/>
                <w:lang w:eastAsia="it-IT"/>
                <w14:ligatures w14:val="none"/>
              </w:rPr>
            </w:pPr>
            <w:proofErr w:type="spellStart"/>
            <w:r w:rsidRPr="00B47608">
              <w:rPr>
                <w:rFonts w:eastAsia="Times New Roman" w:cs="Calibri"/>
                <w:b/>
                <w:bCs/>
                <w:color w:val="000000"/>
                <w:kern w:val="0"/>
                <w:lang w:eastAsia="it-IT"/>
                <w14:ligatures w14:val="none"/>
              </w:rPr>
              <w:t>n.r</w:t>
            </w:r>
            <w:proofErr w:type="spellEnd"/>
            <w:r w:rsidRPr="00B47608">
              <w:rPr>
                <w:rFonts w:eastAsia="Times New Roman" w:cs="Calibri"/>
                <w:b/>
                <w:bCs/>
                <w:color w:val="000000"/>
                <w:kern w:val="0"/>
                <w:lang w:eastAsia="it-IT"/>
                <w14:ligatures w14:val="none"/>
              </w:rPr>
              <w:t>.</w:t>
            </w:r>
          </w:p>
        </w:tc>
        <w:tc>
          <w:tcPr>
            <w:tcW w:w="774" w:type="pct"/>
            <w:shd w:val="clear" w:color="auto" w:fill="auto"/>
            <w:noWrap/>
            <w:vAlign w:val="bottom"/>
            <w:hideMark/>
          </w:tcPr>
          <w:p w14:paraId="6F4B4A79" w14:textId="77777777" w:rsidR="000A32CB" w:rsidRPr="00B47608" w:rsidRDefault="000A32CB"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 xml:space="preserve">Tot. </w:t>
            </w:r>
          </w:p>
        </w:tc>
      </w:tr>
      <w:tr w:rsidR="000A32CB" w:rsidRPr="00B47608" w14:paraId="54494DB6" w14:textId="77777777" w:rsidTr="00680DED">
        <w:trPr>
          <w:trHeight w:val="288"/>
        </w:trPr>
        <w:tc>
          <w:tcPr>
            <w:tcW w:w="1904" w:type="pct"/>
            <w:shd w:val="clear" w:color="auto" w:fill="auto"/>
            <w:noWrap/>
            <w:vAlign w:val="bottom"/>
            <w:hideMark/>
          </w:tcPr>
          <w:p w14:paraId="3E4AD763" w14:textId="77777777" w:rsidR="000A32CB" w:rsidRPr="00B47608" w:rsidRDefault="000A32CB" w:rsidP="00ED2A57">
            <w:pPr>
              <w:spacing w:after="0" w:line="240" w:lineRule="auto"/>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Tutti</w:t>
            </w:r>
          </w:p>
        </w:tc>
        <w:tc>
          <w:tcPr>
            <w:tcW w:w="774" w:type="pct"/>
            <w:shd w:val="clear" w:color="auto" w:fill="auto"/>
            <w:noWrap/>
            <w:vAlign w:val="bottom"/>
            <w:hideMark/>
          </w:tcPr>
          <w:p w14:paraId="5835D7C4" w14:textId="050E1C66" w:rsidR="000A32CB" w:rsidRPr="00B47608" w:rsidRDefault="000A32CB"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49,4</w:t>
            </w:r>
          </w:p>
        </w:tc>
        <w:tc>
          <w:tcPr>
            <w:tcW w:w="774" w:type="pct"/>
            <w:shd w:val="clear" w:color="auto" w:fill="auto"/>
            <w:noWrap/>
            <w:vAlign w:val="bottom"/>
            <w:hideMark/>
          </w:tcPr>
          <w:p w14:paraId="24A35C23" w14:textId="096429E2" w:rsidR="000A32CB" w:rsidRPr="00B47608" w:rsidRDefault="000A32CB"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46,4</w:t>
            </w:r>
          </w:p>
        </w:tc>
        <w:tc>
          <w:tcPr>
            <w:tcW w:w="774" w:type="pct"/>
            <w:shd w:val="clear" w:color="auto" w:fill="auto"/>
            <w:noWrap/>
            <w:vAlign w:val="bottom"/>
            <w:hideMark/>
          </w:tcPr>
          <w:p w14:paraId="2A126DB4" w14:textId="62A778C0" w:rsidR="000A32CB" w:rsidRPr="00B47608" w:rsidRDefault="000A32CB"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4,2</w:t>
            </w:r>
          </w:p>
        </w:tc>
        <w:tc>
          <w:tcPr>
            <w:tcW w:w="774" w:type="pct"/>
            <w:shd w:val="clear" w:color="auto" w:fill="auto"/>
            <w:noWrap/>
            <w:vAlign w:val="bottom"/>
            <w:hideMark/>
          </w:tcPr>
          <w:p w14:paraId="200754B4" w14:textId="3FADDFE2" w:rsidR="000A32CB" w:rsidRPr="00B47608" w:rsidRDefault="000A32CB"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100</w:t>
            </w:r>
          </w:p>
        </w:tc>
      </w:tr>
      <w:tr w:rsidR="000A32CB" w:rsidRPr="00B47608" w14:paraId="44382964" w14:textId="77777777" w:rsidTr="00680DED">
        <w:trPr>
          <w:trHeight w:val="288"/>
        </w:trPr>
        <w:tc>
          <w:tcPr>
            <w:tcW w:w="1904" w:type="pct"/>
            <w:shd w:val="clear" w:color="auto" w:fill="auto"/>
            <w:noWrap/>
            <w:vAlign w:val="bottom"/>
            <w:hideMark/>
          </w:tcPr>
          <w:p w14:paraId="1B373488" w14:textId="77777777" w:rsidR="000A32CB" w:rsidRPr="00B47608" w:rsidRDefault="000A32CB" w:rsidP="00ED2A57">
            <w:pPr>
              <w:spacing w:after="0" w:line="240" w:lineRule="auto"/>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Macrosettore</w:t>
            </w:r>
          </w:p>
        </w:tc>
        <w:tc>
          <w:tcPr>
            <w:tcW w:w="774" w:type="pct"/>
            <w:shd w:val="clear" w:color="auto" w:fill="auto"/>
            <w:noWrap/>
            <w:vAlign w:val="bottom"/>
            <w:hideMark/>
          </w:tcPr>
          <w:p w14:paraId="2FE71116" w14:textId="77777777" w:rsidR="000A32CB" w:rsidRPr="00B47608" w:rsidRDefault="000A32CB" w:rsidP="00ED2A57">
            <w:pPr>
              <w:spacing w:after="0" w:line="240" w:lineRule="auto"/>
              <w:rPr>
                <w:rFonts w:eastAsia="Times New Roman" w:cs="Calibri"/>
                <w:b/>
                <w:bCs/>
                <w:color w:val="000000"/>
                <w:kern w:val="0"/>
                <w:lang w:eastAsia="it-IT"/>
                <w14:ligatures w14:val="none"/>
              </w:rPr>
            </w:pPr>
          </w:p>
        </w:tc>
        <w:tc>
          <w:tcPr>
            <w:tcW w:w="774" w:type="pct"/>
            <w:shd w:val="clear" w:color="auto" w:fill="auto"/>
            <w:noWrap/>
            <w:vAlign w:val="bottom"/>
            <w:hideMark/>
          </w:tcPr>
          <w:p w14:paraId="4E873E00" w14:textId="77777777" w:rsidR="000A32CB" w:rsidRPr="00B47608" w:rsidRDefault="000A32CB" w:rsidP="00ED2A57">
            <w:pPr>
              <w:spacing w:after="0" w:line="240" w:lineRule="auto"/>
              <w:jc w:val="center"/>
              <w:rPr>
                <w:rFonts w:eastAsia="Times New Roman" w:cs="Times New Roman"/>
                <w:kern w:val="0"/>
                <w:sz w:val="20"/>
                <w:szCs w:val="20"/>
                <w:lang w:eastAsia="it-IT"/>
                <w14:ligatures w14:val="none"/>
              </w:rPr>
            </w:pPr>
          </w:p>
        </w:tc>
        <w:tc>
          <w:tcPr>
            <w:tcW w:w="774" w:type="pct"/>
            <w:shd w:val="clear" w:color="auto" w:fill="auto"/>
            <w:noWrap/>
            <w:vAlign w:val="bottom"/>
            <w:hideMark/>
          </w:tcPr>
          <w:p w14:paraId="35626B01" w14:textId="77777777" w:rsidR="000A32CB" w:rsidRPr="00B47608" w:rsidRDefault="000A32CB" w:rsidP="00ED2A57">
            <w:pPr>
              <w:spacing w:after="0" w:line="240" w:lineRule="auto"/>
              <w:jc w:val="center"/>
              <w:rPr>
                <w:rFonts w:eastAsia="Times New Roman" w:cs="Times New Roman"/>
                <w:kern w:val="0"/>
                <w:sz w:val="20"/>
                <w:szCs w:val="20"/>
                <w:lang w:eastAsia="it-IT"/>
                <w14:ligatures w14:val="none"/>
              </w:rPr>
            </w:pPr>
          </w:p>
        </w:tc>
        <w:tc>
          <w:tcPr>
            <w:tcW w:w="774" w:type="pct"/>
            <w:shd w:val="clear" w:color="auto" w:fill="auto"/>
            <w:noWrap/>
            <w:vAlign w:val="bottom"/>
            <w:hideMark/>
          </w:tcPr>
          <w:p w14:paraId="1BAFD983" w14:textId="77777777" w:rsidR="000A32CB" w:rsidRPr="00B47608" w:rsidRDefault="000A32CB" w:rsidP="00ED2A57">
            <w:pPr>
              <w:spacing w:after="0" w:line="240" w:lineRule="auto"/>
              <w:jc w:val="center"/>
              <w:rPr>
                <w:rFonts w:eastAsia="Times New Roman" w:cs="Times New Roman"/>
                <w:kern w:val="0"/>
                <w:sz w:val="20"/>
                <w:szCs w:val="20"/>
                <w:lang w:eastAsia="it-IT"/>
                <w14:ligatures w14:val="none"/>
              </w:rPr>
            </w:pPr>
          </w:p>
        </w:tc>
      </w:tr>
      <w:tr w:rsidR="000A32CB" w:rsidRPr="00B47608" w14:paraId="0A973285" w14:textId="77777777" w:rsidTr="00680DED">
        <w:trPr>
          <w:trHeight w:val="288"/>
        </w:trPr>
        <w:tc>
          <w:tcPr>
            <w:tcW w:w="1904" w:type="pct"/>
            <w:shd w:val="clear" w:color="auto" w:fill="auto"/>
            <w:noWrap/>
            <w:vAlign w:val="bottom"/>
            <w:hideMark/>
          </w:tcPr>
          <w:p w14:paraId="3998C103" w14:textId="77777777" w:rsidR="000A32CB" w:rsidRPr="00B47608" w:rsidRDefault="000A32CB"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Altri settori</w:t>
            </w:r>
          </w:p>
        </w:tc>
        <w:tc>
          <w:tcPr>
            <w:tcW w:w="774" w:type="pct"/>
            <w:shd w:val="clear" w:color="auto" w:fill="auto"/>
            <w:noWrap/>
            <w:vAlign w:val="bottom"/>
            <w:hideMark/>
          </w:tcPr>
          <w:p w14:paraId="34316835" w14:textId="4841E9E8" w:rsidR="000A32CB" w:rsidRPr="00B47608" w:rsidRDefault="000A32CB"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47,5</w:t>
            </w:r>
          </w:p>
        </w:tc>
        <w:tc>
          <w:tcPr>
            <w:tcW w:w="774" w:type="pct"/>
            <w:shd w:val="clear" w:color="auto" w:fill="auto"/>
            <w:noWrap/>
            <w:vAlign w:val="bottom"/>
            <w:hideMark/>
          </w:tcPr>
          <w:p w14:paraId="6677841B" w14:textId="23B7425F" w:rsidR="000A32CB" w:rsidRPr="00B47608" w:rsidRDefault="000A32CB"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48,2</w:t>
            </w:r>
          </w:p>
        </w:tc>
        <w:tc>
          <w:tcPr>
            <w:tcW w:w="774" w:type="pct"/>
            <w:shd w:val="clear" w:color="auto" w:fill="auto"/>
            <w:noWrap/>
            <w:vAlign w:val="bottom"/>
            <w:hideMark/>
          </w:tcPr>
          <w:p w14:paraId="1213EB42" w14:textId="487A0F3A" w:rsidR="000A32CB" w:rsidRPr="00B47608" w:rsidRDefault="000A32CB"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4,4</w:t>
            </w:r>
          </w:p>
        </w:tc>
        <w:tc>
          <w:tcPr>
            <w:tcW w:w="774" w:type="pct"/>
            <w:shd w:val="clear" w:color="auto" w:fill="auto"/>
            <w:noWrap/>
            <w:vAlign w:val="bottom"/>
            <w:hideMark/>
          </w:tcPr>
          <w:p w14:paraId="21350896" w14:textId="27E3980D" w:rsidR="000A32CB" w:rsidRPr="00B47608" w:rsidRDefault="000A32CB"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w:t>
            </w:r>
          </w:p>
        </w:tc>
      </w:tr>
      <w:tr w:rsidR="000A32CB" w:rsidRPr="00B47608" w14:paraId="2E27A850" w14:textId="77777777" w:rsidTr="00680DED">
        <w:trPr>
          <w:trHeight w:val="288"/>
        </w:trPr>
        <w:tc>
          <w:tcPr>
            <w:tcW w:w="1904" w:type="pct"/>
            <w:shd w:val="clear" w:color="auto" w:fill="auto"/>
            <w:noWrap/>
            <w:vAlign w:val="bottom"/>
            <w:hideMark/>
          </w:tcPr>
          <w:p w14:paraId="6579CB7E" w14:textId="77777777" w:rsidR="000A32CB" w:rsidRPr="00B47608" w:rsidRDefault="000A32CB"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Metalmeccanica</w:t>
            </w:r>
          </w:p>
        </w:tc>
        <w:tc>
          <w:tcPr>
            <w:tcW w:w="774" w:type="pct"/>
            <w:shd w:val="clear" w:color="auto" w:fill="auto"/>
            <w:noWrap/>
            <w:vAlign w:val="bottom"/>
            <w:hideMark/>
          </w:tcPr>
          <w:p w14:paraId="0C807CF0" w14:textId="5AC3A12D" w:rsidR="000A32CB" w:rsidRPr="00B47608" w:rsidRDefault="000A32CB"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52,2</w:t>
            </w:r>
          </w:p>
        </w:tc>
        <w:tc>
          <w:tcPr>
            <w:tcW w:w="774" w:type="pct"/>
            <w:shd w:val="clear" w:color="auto" w:fill="auto"/>
            <w:noWrap/>
            <w:vAlign w:val="bottom"/>
            <w:hideMark/>
          </w:tcPr>
          <w:p w14:paraId="3845C6B3" w14:textId="1E0B2A52" w:rsidR="000A32CB" w:rsidRPr="00B47608" w:rsidRDefault="000A32CB"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43,9</w:t>
            </w:r>
          </w:p>
        </w:tc>
        <w:tc>
          <w:tcPr>
            <w:tcW w:w="774" w:type="pct"/>
            <w:shd w:val="clear" w:color="auto" w:fill="auto"/>
            <w:noWrap/>
            <w:vAlign w:val="bottom"/>
            <w:hideMark/>
          </w:tcPr>
          <w:p w14:paraId="67E48DC0" w14:textId="2D633FA4" w:rsidR="000A32CB" w:rsidRPr="00B47608" w:rsidRDefault="000A32CB"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3,9</w:t>
            </w:r>
          </w:p>
        </w:tc>
        <w:tc>
          <w:tcPr>
            <w:tcW w:w="774" w:type="pct"/>
            <w:shd w:val="clear" w:color="auto" w:fill="auto"/>
            <w:noWrap/>
            <w:vAlign w:val="bottom"/>
            <w:hideMark/>
          </w:tcPr>
          <w:p w14:paraId="461EFEF4" w14:textId="6116EC9B" w:rsidR="000A32CB" w:rsidRPr="00B47608" w:rsidRDefault="000A32CB"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w:t>
            </w:r>
          </w:p>
        </w:tc>
      </w:tr>
      <w:tr w:rsidR="000A32CB" w:rsidRPr="00B47608" w14:paraId="276ECD50" w14:textId="77777777" w:rsidTr="00680DED">
        <w:trPr>
          <w:trHeight w:val="288"/>
        </w:trPr>
        <w:tc>
          <w:tcPr>
            <w:tcW w:w="1904" w:type="pct"/>
            <w:shd w:val="clear" w:color="auto" w:fill="auto"/>
            <w:noWrap/>
            <w:vAlign w:val="bottom"/>
            <w:hideMark/>
          </w:tcPr>
          <w:p w14:paraId="4270DE74" w14:textId="77777777" w:rsidR="000A32CB" w:rsidRPr="00B47608" w:rsidRDefault="000A32CB" w:rsidP="00ED2A57">
            <w:pPr>
              <w:spacing w:after="0" w:line="240" w:lineRule="auto"/>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Dimensioni</w:t>
            </w:r>
          </w:p>
        </w:tc>
        <w:tc>
          <w:tcPr>
            <w:tcW w:w="774" w:type="pct"/>
            <w:shd w:val="clear" w:color="auto" w:fill="auto"/>
            <w:noWrap/>
            <w:vAlign w:val="bottom"/>
            <w:hideMark/>
          </w:tcPr>
          <w:p w14:paraId="7F12D65D" w14:textId="77777777" w:rsidR="000A32CB" w:rsidRPr="00B47608" w:rsidRDefault="000A32CB" w:rsidP="00ED2A57">
            <w:pPr>
              <w:spacing w:after="0" w:line="240" w:lineRule="auto"/>
              <w:rPr>
                <w:rFonts w:eastAsia="Times New Roman" w:cs="Calibri"/>
                <w:b/>
                <w:bCs/>
                <w:color w:val="000000"/>
                <w:kern w:val="0"/>
                <w:lang w:eastAsia="it-IT"/>
                <w14:ligatures w14:val="none"/>
              </w:rPr>
            </w:pPr>
          </w:p>
        </w:tc>
        <w:tc>
          <w:tcPr>
            <w:tcW w:w="774" w:type="pct"/>
            <w:shd w:val="clear" w:color="auto" w:fill="auto"/>
            <w:noWrap/>
            <w:vAlign w:val="bottom"/>
            <w:hideMark/>
          </w:tcPr>
          <w:p w14:paraId="10B69FE7" w14:textId="77777777" w:rsidR="000A32CB" w:rsidRPr="00B47608" w:rsidRDefault="000A32CB" w:rsidP="00ED2A57">
            <w:pPr>
              <w:spacing w:after="0" w:line="240" w:lineRule="auto"/>
              <w:jc w:val="center"/>
              <w:rPr>
                <w:rFonts w:eastAsia="Times New Roman" w:cs="Times New Roman"/>
                <w:kern w:val="0"/>
                <w:sz w:val="20"/>
                <w:szCs w:val="20"/>
                <w:lang w:eastAsia="it-IT"/>
                <w14:ligatures w14:val="none"/>
              </w:rPr>
            </w:pPr>
          </w:p>
        </w:tc>
        <w:tc>
          <w:tcPr>
            <w:tcW w:w="774" w:type="pct"/>
            <w:shd w:val="clear" w:color="auto" w:fill="auto"/>
            <w:noWrap/>
            <w:vAlign w:val="bottom"/>
            <w:hideMark/>
          </w:tcPr>
          <w:p w14:paraId="49212CF8" w14:textId="77777777" w:rsidR="000A32CB" w:rsidRPr="00B47608" w:rsidRDefault="000A32CB" w:rsidP="00ED2A57">
            <w:pPr>
              <w:spacing w:after="0" w:line="240" w:lineRule="auto"/>
              <w:jc w:val="center"/>
              <w:rPr>
                <w:rFonts w:eastAsia="Times New Roman" w:cs="Times New Roman"/>
                <w:kern w:val="0"/>
                <w:sz w:val="20"/>
                <w:szCs w:val="20"/>
                <w:lang w:eastAsia="it-IT"/>
                <w14:ligatures w14:val="none"/>
              </w:rPr>
            </w:pPr>
          </w:p>
        </w:tc>
        <w:tc>
          <w:tcPr>
            <w:tcW w:w="774" w:type="pct"/>
            <w:shd w:val="clear" w:color="auto" w:fill="auto"/>
            <w:noWrap/>
            <w:vAlign w:val="bottom"/>
            <w:hideMark/>
          </w:tcPr>
          <w:p w14:paraId="18C70DF2" w14:textId="77777777" w:rsidR="000A32CB" w:rsidRPr="00B47608" w:rsidRDefault="000A32CB" w:rsidP="00ED2A57">
            <w:pPr>
              <w:spacing w:after="0" w:line="240" w:lineRule="auto"/>
              <w:jc w:val="center"/>
              <w:rPr>
                <w:rFonts w:eastAsia="Times New Roman" w:cs="Times New Roman"/>
                <w:kern w:val="0"/>
                <w:sz w:val="20"/>
                <w:szCs w:val="20"/>
                <w:lang w:eastAsia="it-IT"/>
                <w14:ligatures w14:val="none"/>
              </w:rPr>
            </w:pPr>
          </w:p>
        </w:tc>
      </w:tr>
      <w:tr w:rsidR="000A32CB" w:rsidRPr="00B47608" w14:paraId="5E313DA1" w14:textId="77777777" w:rsidTr="00680DED">
        <w:trPr>
          <w:trHeight w:val="288"/>
        </w:trPr>
        <w:tc>
          <w:tcPr>
            <w:tcW w:w="1904" w:type="pct"/>
            <w:shd w:val="clear" w:color="auto" w:fill="auto"/>
            <w:noWrap/>
            <w:vAlign w:val="bottom"/>
            <w:hideMark/>
          </w:tcPr>
          <w:p w14:paraId="60C74C14" w14:textId="77777777" w:rsidR="000A32CB" w:rsidRPr="00B47608" w:rsidRDefault="000A32CB"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Meno di 50</w:t>
            </w:r>
          </w:p>
        </w:tc>
        <w:tc>
          <w:tcPr>
            <w:tcW w:w="774" w:type="pct"/>
            <w:shd w:val="clear" w:color="auto" w:fill="auto"/>
            <w:noWrap/>
            <w:vAlign w:val="bottom"/>
            <w:hideMark/>
          </w:tcPr>
          <w:p w14:paraId="58BE892F" w14:textId="6D927EB7" w:rsidR="000A32CB" w:rsidRPr="00B47608" w:rsidRDefault="000A32CB"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41,4</w:t>
            </w:r>
          </w:p>
        </w:tc>
        <w:tc>
          <w:tcPr>
            <w:tcW w:w="774" w:type="pct"/>
            <w:shd w:val="clear" w:color="auto" w:fill="auto"/>
            <w:noWrap/>
            <w:vAlign w:val="bottom"/>
            <w:hideMark/>
          </w:tcPr>
          <w:p w14:paraId="20A1BBD3" w14:textId="281428F2" w:rsidR="000A32CB" w:rsidRPr="00B47608" w:rsidRDefault="000A32CB"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54,7</w:t>
            </w:r>
          </w:p>
        </w:tc>
        <w:tc>
          <w:tcPr>
            <w:tcW w:w="774" w:type="pct"/>
            <w:shd w:val="clear" w:color="auto" w:fill="auto"/>
            <w:noWrap/>
            <w:vAlign w:val="bottom"/>
            <w:hideMark/>
          </w:tcPr>
          <w:p w14:paraId="77AF48C5" w14:textId="28738623" w:rsidR="000A32CB" w:rsidRPr="00B47608" w:rsidRDefault="000A32CB"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3,8</w:t>
            </w:r>
          </w:p>
        </w:tc>
        <w:tc>
          <w:tcPr>
            <w:tcW w:w="774" w:type="pct"/>
            <w:shd w:val="clear" w:color="auto" w:fill="auto"/>
            <w:noWrap/>
            <w:vAlign w:val="bottom"/>
            <w:hideMark/>
          </w:tcPr>
          <w:p w14:paraId="1A879379" w14:textId="1001B538" w:rsidR="000A32CB" w:rsidRPr="00B47608" w:rsidRDefault="000A32CB"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w:t>
            </w:r>
          </w:p>
        </w:tc>
      </w:tr>
      <w:tr w:rsidR="000A32CB" w:rsidRPr="00B47608" w14:paraId="6AB321B4" w14:textId="77777777" w:rsidTr="00680DED">
        <w:trPr>
          <w:trHeight w:val="288"/>
        </w:trPr>
        <w:tc>
          <w:tcPr>
            <w:tcW w:w="1904" w:type="pct"/>
            <w:shd w:val="clear" w:color="auto" w:fill="auto"/>
            <w:noWrap/>
            <w:vAlign w:val="bottom"/>
            <w:hideMark/>
          </w:tcPr>
          <w:p w14:paraId="22163DEE" w14:textId="77777777" w:rsidR="000A32CB" w:rsidRPr="00B47608" w:rsidRDefault="000A32CB"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50 e più</w:t>
            </w:r>
          </w:p>
        </w:tc>
        <w:tc>
          <w:tcPr>
            <w:tcW w:w="774" w:type="pct"/>
            <w:shd w:val="clear" w:color="auto" w:fill="auto"/>
            <w:noWrap/>
            <w:vAlign w:val="bottom"/>
            <w:hideMark/>
          </w:tcPr>
          <w:p w14:paraId="4A529147" w14:textId="21EDA08D" w:rsidR="000A32CB" w:rsidRPr="00B47608" w:rsidRDefault="000A32CB"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63,5</w:t>
            </w:r>
          </w:p>
        </w:tc>
        <w:tc>
          <w:tcPr>
            <w:tcW w:w="774" w:type="pct"/>
            <w:shd w:val="clear" w:color="auto" w:fill="auto"/>
            <w:noWrap/>
            <w:vAlign w:val="bottom"/>
            <w:hideMark/>
          </w:tcPr>
          <w:p w14:paraId="5C9C2503" w14:textId="34350AE1" w:rsidR="000A32CB" w:rsidRPr="00B47608" w:rsidRDefault="000A32CB"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31,7</w:t>
            </w:r>
          </w:p>
        </w:tc>
        <w:tc>
          <w:tcPr>
            <w:tcW w:w="774" w:type="pct"/>
            <w:shd w:val="clear" w:color="auto" w:fill="auto"/>
            <w:noWrap/>
            <w:vAlign w:val="bottom"/>
            <w:hideMark/>
          </w:tcPr>
          <w:p w14:paraId="6D44C438" w14:textId="71EF226A" w:rsidR="000A32CB" w:rsidRPr="00B47608" w:rsidRDefault="000A32CB"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4,7</w:t>
            </w:r>
          </w:p>
        </w:tc>
        <w:tc>
          <w:tcPr>
            <w:tcW w:w="774" w:type="pct"/>
            <w:shd w:val="clear" w:color="auto" w:fill="auto"/>
            <w:noWrap/>
            <w:vAlign w:val="bottom"/>
            <w:hideMark/>
          </w:tcPr>
          <w:p w14:paraId="02289A46" w14:textId="715D4BC9" w:rsidR="000A32CB" w:rsidRPr="00B47608" w:rsidRDefault="000A32CB"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w:t>
            </w:r>
          </w:p>
        </w:tc>
      </w:tr>
      <w:tr w:rsidR="000A32CB" w:rsidRPr="00B47608" w14:paraId="67CC34B6" w14:textId="77777777" w:rsidTr="00680DED">
        <w:trPr>
          <w:trHeight w:val="288"/>
        </w:trPr>
        <w:tc>
          <w:tcPr>
            <w:tcW w:w="1904" w:type="pct"/>
            <w:shd w:val="clear" w:color="auto" w:fill="auto"/>
            <w:noWrap/>
            <w:vAlign w:val="bottom"/>
            <w:hideMark/>
          </w:tcPr>
          <w:p w14:paraId="7520F206" w14:textId="77777777" w:rsidR="000A32CB" w:rsidRPr="00B47608" w:rsidRDefault="000A32CB" w:rsidP="00ED2A57">
            <w:pPr>
              <w:spacing w:after="0" w:line="240" w:lineRule="auto"/>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Intensità di esportazione</w:t>
            </w:r>
          </w:p>
        </w:tc>
        <w:tc>
          <w:tcPr>
            <w:tcW w:w="774" w:type="pct"/>
            <w:shd w:val="clear" w:color="auto" w:fill="auto"/>
            <w:noWrap/>
            <w:vAlign w:val="bottom"/>
            <w:hideMark/>
          </w:tcPr>
          <w:p w14:paraId="0BF1B5C9" w14:textId="77777777" w:rsidR="000A32CB" w:rsidRPr="00B47608" w:rsidRDefault="000A32CB" w:rsidP="00ED2A57">
            <w:pPr>
              <w:spacing w:after="0" w:line="240" w:lineRule="auto"/>
              <w:rPr>
                <w:rFonts w:eastAsia="Times New Roman" w:cs="Calibri"/>
                <w:b/>
                <w:bCs/>
                <w:color w:val="000000"/>
                <w:kern w:val="0"/>
                <w:lang w:eastAsia="it-IT"/>
                <w14:ligatures w14:val="none"/>
              </w:rPr>
            </w:pPr>
          </w:p>
        </w:tc>
        <w:tc>
          <w:tcPr>
            <w:tcW w:w="774" w:type="pct"/>
            <w:shd w:val="clear" w:color="auto" w:fill="auto"/>
            <w:noWrap/>
            <w:vAlign w:val="bottom"/>
            <w:hideMark/>
          </w:tcPr>
          <w:p w14:paraId="52D79F2F" w14:textId="77777777" w:rsidR="000A32CB" w:rsidRPr="00B47608" w:rsidRDefault="000A32CB" w:rsidP="00ED2A57">
            <w:pPr>
              <w:spacing w:after="0" w:line="240" w:lineRule="auto"/>
              <w:jc w:val="center"/>
              <w:rPr>
                <w:rFonts w:eastAsia="Times New Roman" w:cs="Times New Roman"/>
                <w:kern w:val="0"/>
                <w:sz w:val="20"/>
                <w:szCs w:val="20"/>
                <w:lang w:eastAsia="it-IT"/>
                <w14:ligatures w14:val="none"/>
              </w:rPr>
            </w:pPr>
          </w:p>
        </w:tc>
        <w:tc>
          <w:tcPr>
            <w:tcW w:w="774" w:type="pct"/>
            <w:shd w:val="clear" w:color="auto" w:fill="auto"/>
            <w:noWrap/>
            <w:vAlign w:val="bottom"/>
            <w:hideMark/>
          </w:tcPr>
          <w:p w14:paraId="3502ACA2" w14:textId="77777777" w:rsidR="000A32CB" w:rsidRPr="00B47608" w:rsidRDefault="000A32CB" w:rsidP="00ED2A57">
            <w:pPr>
              <w:spacing w:after="0" w:line="240" w:lineRule="auto"/>
              <w:jc w:val="center"/>
              <w:rPr>
                <w:rFonts w:eastAsia="Times New Roman" w:cs="Times New Roman"/>
                <w:kern w:val="0"/>
                <w:sz w:val="20"/>
                <w:szCs w:val="20"/>
                <w:lang w:eastAsia="it-IT"/>
                <w14:ligatures w14:val="none"/>
              </w:rPr>
            </w:pPr>
          </w:p>
        </w:tc>
        <w:tc>
          <w:tcPr>
            <w:tcW w:w="774" w:type="pct"/>
            <w:shd w:val="clear" w:color="auto" w:fill="auto"/>
            <w:noWrap/>
            <w:vAlign w:val="bottom"/>
            <w:hideMark/>
          </w:tcPr>
          <w:p w14:paraId="42A5A588" w14:textId="77777777" w:rsidR="000A32CB" w:rsidRPr="00B47608" w:rsidRDefault="000A32CB" w:rsidP="00ED2A57">
            <w:pPr>
              <w:spacing w:after="0" w:line="240" w:lineRule="auto"/>
              <w:jc w:val="center"/>
              <w:rPr>
                <w:rFonts w:eastAsia="Times New Roman" w:cs="Times New Roman"/>
                <w:kern w:val="0"/>
                <w:sz w:val="20"/>
                <w:szCs w:val="20"/>
                <w:lang w:eastAsia="it-IT"/>
                <w14:ligatures w14:val="none"/>
              </w:rPr>
            </w:pPr>
          </w:p>
        </w:tc>
      </w:tr>
      <w:tr w:rsidR="000A32CB" w:rsidRPr="00B47608" w14:paraId="25E0C5BF" w14:textId="77777777" w:rsidTr="00680DED">
        <w:trPr>
          <w:trHeight w:val="288"/>
        </w:trPr>
        <w:tc>
          <w:tcPr>
            <w:tcW w:w="1904" w:type="pct"/>
            <w:shd w:val="clear" w:color="auto" w:fill="auto"/>
            <w:noWrap/>
            <w:vAlign w:val="bottom"/>
            <w:hideMark/>
          </w:tcPr>
          <w:p w14:paraId="200F0FF2" w14:textId="77777777" w:rsidR="000A32CB" w:rsidRPr="00B47608" w:rsidRDefault="000A32CB"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Non esportatori</w:t>
            </w:r>
          </w:p>
        </w:tc>
        <w:tc>
          <w:tcPr>
            <w:tcW w:w="774" w:type="pct"/>
            <w:shd w:val="clear" w:color="auto" w:fill="auto"/>
            <w:noWrap/>
            <w:vAlign w:val="bottom"/>
            <w:hideMark/>
          </w:tcPr>
          <w:p w14:paraId="7CE38AFB" w14:textId="1E279731" w:rsidR="000A32CB" w:rsidRPr="00B47608" w:rsidRDefault="000A32CB"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42,8</w:t>
            </w:r>
          </w:p>
        </w:tc>
        <w:tc>
          <w:tcPr>
            <w:tcW w:w="774" w:type="pct"/>
            <w:shd w:val="clear" w:color="auto" w:fill="auto"/>
            <w:noWrap/>
            <w:vAlign w:val="bottom"/>
            <w:hideMark/>
          </w:tcPr>
          <w:p w14:paraId="4057B7BE" w14:textId="6FDFFF00" w:rsidR="000A32CB" w:rsidRPr="00B47608" w:rsidRDefault="000A32CB"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44,8</w:t>
            </w:r>
          </w:p>
        </w:tc>
        <w:tc>
          <w:tcPr>
            <w:tcW w:w="774" w:type="pct"/>
            <w:shd w:val="clear" w:color="auto" w:fill="auto"/>
            <w:noWrap/>
            <w:vAlign w:val="bottom"/>
            <w:hideMark/>
          </w:tcPr>
          <w:p w14:paraId="0030D7E8" w14:textId="7F4698C9" w:rsidR="000A32CB" w:rsidRPr="00B47608" w:rsidRDefault="000A32CB"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12,4</w:t>
            </w:r>
          </w:p>
        </w:tc>
        <w:tc>
          <w:tcPr>
            <w:tcW w:w="774" w:type="pct"/>
            <w:shd w:val="clear" w:color="auto" w:fill="auto"/>
            <w:noWrap/>
            <w:vAlign w:val="bottom"/>
            <w:hideMark/>
          </w:tcPr>
          <w:p w14:paraId="6CD797A0" w14:textId="38D8B85E" w:rsidR="000A32CB" w:rsidRPr="00B47608" w:rsidRDefault="000A32CB"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w:t>
            </w:r>
          </w:p>
        </w:tc>
      </w:tr>
      <w:tr w:rsidR="000A32CB" w:rsidRPr="00B47608" w14:paraId="64FC6E43" w14:textId="77777777" w:rsidTr="00680DED">
        <w:trPr>
          <w:trHeight w:val="288"/>
        </w:trPr>
        <w:tc>
          <w:tcPr>
            <w:tcW w:w="1904" w:type="pct"/>
            <w:shd w:val="clear" w:color="auto" w:fill="auto"/>
            <w:noWrap/>
            <w:vAlign w:val="bottom"/>
            <w:hideMark/>
          </w:tcPr>
          <w:p w14:paraId="3B0EF28D" w14:textId="77777777" w:rsidR="000A32CB" w:rsidRPr="00B47608" w:rsidRDefault="000A32CB"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Bassa intensità di export</w:t>
            </w:r>
          </w:p>
        </w:tc>
        <w:tc>
          <w:tcPr>
            <w:tcW w:w="774" w:type="pct"/>
            <w:shd w:val="clear" w:color="auto" w:fill="auto"/>
            <w:noWrap/>
            <w:vAlign w:val="bottom"/>
            <w:hideMark/>
          </w:tcPr>
          <w:p w14:paraId="477BCD9C" w14:textId="525895F9" w:rsidR="000A32CB" w:rsidRPr="00B47608" w:rsidRDefault="000A32CB"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43,6</w:t>
            </w:r>
          </w:p>
        </w:tc>
        <w:tc>
          <w:tcPr>
            <w:tcW w:w="774" w:type="pct"/>
            <w:shd w:val="clear" w:color="auto" w:fill="auto"/>
            <w:noWrap/>
            <w:vAlign w:val="bottom"/>
            <w:hideMark/>
          </w:tcPr>
          <w:p w14:paraId="738BB0F6" w14:textId="2B7E5F4E" w:rsidR="000A32CB" w:rsidRPr="00B47608" w:rsidRDefault="000A32CB"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50,8</w:t>
            </w:r>
          </w:p>
        </w:tc>
        <w:tc>
          <w:tcPr>
            <w:tcW w:w="774" w:type="pct"/>
            <w:shd w:val="clear" w:color="auto" w:fill="auto"/>
            <w:noWrap/>
            <w:vAlign w:val="bottom"/>
            <w:hideMark/>
          </w:tcPr>
          <w:p w14:paraId="5110BEA8" w14:textId="2A1AF1C1" w:rsidR="000A32CB" w:rsidRPr="00B47608" w:rsidRDefault="000A32CB"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5,6</w:t>
            </w:r>
          </w:p>
        </w:tc>
        <w:tc>
          <w:tcPr>
            <w:tcW w:w="774" w:type="pct"/>
            <w:shd w:val="clear" w:color="auto" w:fill="auto"/>
            <w:noWrap/>
            <w:vAlign w:val="bottom"/>
            <w:hideMark/>
          </w:tcPr>
          <w:p w14:paraId="0A6F2573" w14:textId="5C42746B" w:rsidR="000A32CB" w:rsidRPr="00B47608" w:rsidRDefault="000A32CB"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w:t>
            </w:r>
          </w:p>
        </w:tc>
      </w:tr>
      <w:tr w:rsidR="000A32CB" w:rsidRPr="00B47608" w14:paraId="4C9A9B7A" w14:textId="77777777" w:rsidTr="00680DED">
        <w:trPr>
          <w:trHeight w:val="288"/>
        </w:trPr>
        <w:tc>
          <w:tcPr>
            <w:tcW w:w="1904" w:type="pct"/>
            <w:shd w:val="clear" w:color="auto" w:fill="auto"/>
            <w:noWrap/>
            <w:vAlign w:val="bottom"/>
            <w:hideMark/>
          </w:tcPr>
          <w:p w14:paraId="431EF71A" w14:textId="77777777" w:rsidR="000A32CB" w:rsidRPr="00B47608" w:rsidRDefault="000A32CB"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Media intensità di export</w:t>
            </w:r>
          </w:p>
        </w:tc>
        <w:tc>
          <w:tcPr>
            <w:tcW w:w="774" w:type="pct"/>
            <w:shd w:val="clear" w:color="auto" w:fill="auto"/>
            <w:noWrap/>
            <w:vAlign w:val="bottom"/>
            <w:hideMark/>
          </w:tcPr>
          <w:p w14:paraId="15FA7677" w14:textId="6AB3BA39" w:rsidR="000A32CB" w:rsidRPr="00B47608" w:rsidRDefault="000A32CB"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56,0</w:t>
            </w:r>
          </w:p>
        </w:tc>
        <w:tc>
          <w:tcPr>
            <w:tcW w:w="774" w:type="pct"/>
            <w:shd w:val="clear" w:color="auto" w:fill="auto"/>
            <w:noWrap/>
            <w:vAlign w:val="bottom"/>
            <w:hideMark/>
          </w:tcPr>
          <w:p w14:paraId="449F7AC9" w14:textId="0BFBFB45" w:rsidR="000A32CB" w:rsidRPr="00B47608" w:rsidRDefault="000A32CB"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41,2</w:t>
            </w:r>
          </w:p>
        </w:tc>
        <w:tc>
          <w:tcPr>
            <w:tcW w:w="774" w:type="pct"/>
            <w:shd w:val="clear" w:color="auto" w:fill="auto"/>
            <w:noWrap/>
            <w:vAlign w:val="bottom"/>
            <w:hideMark/>
          </w:tcPr>
          <w:p w14:paraId="35365CC4" w14:textId="5CE34262" w:rsidR="000A32CB" w:rsidRPr="00B47608" w:rsidRDefault="000A32CB"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2,8</w:t>
            </w:r>
          </w:p>
        </w:tc>
        <w:tc>
          <w:tcPr>
            <w:tcW w:w="774" w:type="pct"/>
            <w:shd w:val="clear" w:color="auto" w:fill="auto"/>
            <w:noWrap/>
            <w:vAlign w:val="bottom"/>
            <w:hideMark/>
          </w:tcPr>
          <w:p w14:paraId="0191ACB0" w14:textId="4CCC25B7" w:rsidR="000A32CB" w:rsidRPr="00B47608" w:rsidRDefault="000A32CB"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w:t>
            </w:r>
          </w:p>
        </w:tc>
      </w:tr>
      <w:tr w:rsidR="000A32CB" w:rsidRPr="00B47608" w14:paraId="13B0B9ED" w14:textId="77777777" w:rsidTr="00680DED">
        <w:trPr>
          <w:trHeight w:val="288"/>
        </w:trPr>
        <w:tc>
          <w:tcPr>
            <w:tcW w:w="1904" w:type="pct"/>
            <w:shd w:val="clear" w:color="auto" w:fill="auto"/>
            <w:noWrap/>
            <w:vAlign w:val="bottom"/>
            <w:hideMark/>
          </w:tcPr>
          <w:p w14:paraId="624B725C" w14:textId="77777777" w:rsidR="000A32CB" w:rsidRPr="00B47608" w:rsidRDefault="000A32CB"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Alta intensità di export</w:t>
            </w:r>
          </w:p>
        </w:tc>
        <w:tc>
          <w:tcPr>
            <w:tcW w:w="774" w:type="pct"/>
            <w:shd w:val="clear" w:color="auto" w:fill="auto"/>
            <w:noWrap/>
            <w:vAlign w:val="bottom"/>
            <w:hideMark/>
          </w:tcPr>
          <w:p w14:paraId="036F0CF7" w14:textId="7FE2291B" w:rsidR="000A32CB" w:rsidRPr="00B47608" w:rsidRDefault="000A32CB"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50,7</w:t>
            </w:r>
          </w:p>
        </w:tc>
        <w:tc>
          <w:tcPr>
            <w:tcW w:w="774" w:type="pct"/>
            <w:shd w:val="clear" w:color="auto" w:fill="auto"/>
            <w:noWrap/>
            <w:vAlign w:val="bottom"/>
            <w:hideMark/>
          </w:tcPr>
          <w:p w14:paraId="56511587" w14:textId="224FEB3E" w:rsidR="000A32CB" w:rsidRPr="00B47608" w:rsidRDefault="000A32CB"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47,4</w:t>
            </w:r>
          </w:p>
        </w:tc>
        <w:tc>
          <w:tcPr>
            <w:tcW w:w="774" w:type="pct"/>
            <w:shd w:val="clear" w:color="auto" w:fill="auto"/>
            <w:noWrap/>
            <w:vAlign w:val="bottom"/>
            <w:hideMark/>
          </w:tcPr>
          <w:p w14:paraId="7FB3C5EA" w14:textId="6F007BDE" w:rsidR="000A32CB" w:rsidRPr="00B47608" w:rsidRDefault="000A32CB"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1,9</w:t>
            </w:r>
          </w:p>
        </w:tc>
        <w:tc>
          <w:tcPr>
            <w:tcW w:w="774" w:type="pct"/>
            <w:shd w:val="clear" w:color="auto" w:fill="auto"/>
            <w:noWrap/>
            <w:vAlign w:val="bottom"/>
            <w:hideMark/>
          </w:tcPr>
          <w:p w14:paraId="2EBC9519" w14:textId="13BDFF2F" w:rsidR="000A32CB" w:rsidRPr="00B47608" w:rsidRDefault="000A32CB"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100</w:t>
            </w:r>
          </w:p>
        </w:tc>
      </w:tr>
    </w:tbl>
    <w:p w14:paraId="2D0DDBF4" w14:textId="77777777" w:rsidR="000A32CB" w:rsidRPr="00B47608" w:rsidRDefault="000A32CB" w:rsidP="00ED2A57">
      <w:pPr>
        <w:spacing w:after="0"/>
      </w:pPr>
      <w:r w:rsidRPr="00B47608">
        <w:t>Fonte: Fondazione Nord Est (463 casi)</w:t>
      </w:r>
    </w:p>
    <w:p w14:paraId="1FBB5AAF" w14:textId="77777777" w:rsidR="00E62D80" w:rsidRPr="00B47608" w:rsidRDefault="00E62D80" w:rsidP="00ED2A57">
      <w:pPr>
        <w:spacing w:after="0"/>
      </w:pPr>
    </w:p>
    <w:p w14:paraId="51B54203" w14:textId="2F815760" w:rsidR="00842B1B" w:rsidRPr="00B47608" w:rsidRDefault="00842B1B" w:rsidP="00842B1B">
      <w:pPr>
        <w:spacing w:after="0"/>
        <w:jc w:val="both"/>
      </w:pPr>
      <w:r w:rsidRPr="00B47608">
        <w:t>Infine, in relazione all’intensità di esportazione, le imprese ad alta e media intensità di esportazione sono quelle ad aver maggiormente ricevuto richieste legate alle politiche e performance di sostenibilità. La maggiore attenzione alla sostenibilità da parte delle imprese con media e alta intensità di export potrebbe essere legata alle normative e alle aspettative dei mercati internazionali, che in alcuni casi richiedono standard di sostenibilità diversi rispetto al mercato nazionale. Questo dato suggerisce che l'internazionalizzazione potrebbe spinge</w:t>
      </w:r>
      <w:r w:rsidR="00BC45E6">
        <w:t>re</w:t>
      </w:r>
      <w:r w:rsidRPr="00B47608">
        <w:t xml:space="preserve"> le imprese a adottare pratiche più sostenibili per rimanere competitive.</w:t>
      </w:r>
    </w:p>
    <w:p w14:paraId="59CA1851" w14:textId="77777777" w:rsidR="00E50968" w:rsidRPr="00B47608" w:rsidRDefault="00E50968" w:rsidP="00ED2A57">
      <w:pPr>
        <w:spacing w:after="0"/>
      </w:pPr>
    </w:p>
    <w:p w14:paraId="3099D992" w14:textId="77777777" w:rsidR="009413B3" w:rsidRPr="00B47608" w:rsidRDefault="0053321F" w:rsidP="0053321F">
      <w:pPr>
        <w:spacing w:after="0"/>
        <w:jc w:val="both"/>
      </w:pPr>
      <w:r w:rsidRPr="00B47608">
        <w:t xml:space="preserve">L'indagine evidenzia un interesse selettivo verso le tecnologie digitali per l'internazionalizzazione, con una maggiore attenzione alle applicazioni pratiche dell'AI per l'analisi di mercato e una minore fiducia verso strumenti come la realtà virtuale immersiva. </w:t>
      </w:r>
      <w:r w:rsidR="00564B84" w:rsidRPr="00B47608">
        <w:t>Si trova</w:t>
      </w:r>
      <w:r w:rsidR="00E50968" w:rsidRPr="00B47608">
        <w:t xml:space="preserve"> conferma</w:t>
      </w:r>
      <w:r w:rsidR="00564B84" w:rsidRPr="00B47608">
        <w:t>, inoltre,</w:t>
      </w:r>
      <w:r w:rsidR="00E50968" w:rsidRPr="00B47608">
        <w:t xml:space="preserve"> </w:t>
      </w:r>
      <w:r w:rsidR="00564B84" w:rsidRPr="00B47608">
        <w:t xml:space="preserve">di </w:t>
      </w:r>
      <w:r w:rsidR="00E50968" w:rsidRPr="00B47608">
        <w:t xml:space="preserve">come la sostenibilità sia diventata un fattore imprescindibile per le imprese che intendono competere sui mercati internazionali. Integrare la sostenibilità nella strategia aziendale non è solo un atto di responsabilità, ma un vero e proprio investimento per il futuro, che può favorire l'accesso a finanziamenti, attrarre investimenti </w:t>
      </w:r>
      <w:r w:rsidR="00CC5150" w:rsidRPr="00B47608">
        <w:t xml:space="preserve">anche </w:t>
      </w:r>
      <w:r w:rsidR="00E50968" w:rsidRPr="00B47608">
        <w:t>esteri, aprire nuovi mercati e rafforzare la competitività globale.</w:t>
      </w:r>
    </w:p>
    <w:p w14:paraId="1EBAC5B1" w14:textId="03A3AEF4" w:rsidR="004C33E4" w:rsidRPr="00B47608" w:rsidRDefault="004C33E4"/>
    <w:p w14:paraId="02F0DE96" w14:textId="77777777" w:rsidR="00015508" w:rsidRPr="00B47608" w:rsidRDefault="00015508"/>
    <w:p w14:paraId="69B244B3" w14:textId="77777777" w:rsidR="00262011" w:rsidRPr="00B47608" w:rsidRDefault="00262011">
      <w:pPr>
        <w:rPr>
          <w:rFonts w:eastAsiaTheme="majorEastAsia" w:cstheme="majorBidi"/>
          <w:color w:val="0F4761" w:themeColor="accent1" w:themeShade="BF"/>
          <w:sz w:val="28"/>
          <w:szCs w:val="28"/>
        </w:rPr>
      </w:pPr>
      <w:r w:rsidRPr="00B47608">
        <w:br w:type="page"/>
      </w:r>
    </w:p>
    <w:p w14:paraId="39357CA8" w14:textId="7BD71FE8" w:rsidR="00AE6081" w:rsidRPr="00B47608" w:rsidRDefault="00657F9D" w:rsidP="00657F9D">
      <w:pPr>
        <w:pStyle w:val="Titolo3"/>
      </w:pPr>
      <w:bookmarkStart w:id="21" w:name="_Toc193106862"/>
      <w:r w:rsidRPr="00B47608">
        <w:lastRenderedPageBreak/>
        <w:t xml:space="preserve">Approfondimento </w:t>
      </w:r>
      <w:r w:rsidR="00EC5076" w:rsidRPr="00B47608">
        <w:t>– L’IA</w:t>
      </w:r>
      <w:r w:rsidR="004C33E4" w:rsidRPr="00B47608">
        <w:t xml:space="preserve"> e il commercio internazionale</w:t>
      </w:r>
      <w:bookmarkEnd w:id="21"/>
    </w:p>
    <w:p w14:paraId="4A913EFB" w14:textId="77777777" w:rsidR="004C33E4" w:rsidRPr="00B47608" w:rsidRDefault="004C33E4" w:rsidP="000E632B">
      <w:pPr>
        <w:spacing w:after="0"/>
        <w:jc w:val="both"/>
      </w:pPr>
    </w:p>
    <w:p w14:paraId="03F09471" w14:textId="77777777" w:rsidR="004C33E4" w:rsidRPr="006C6FB9" w:rsidRDefault="004C33E4" w:rsidP="000E632B">
      <w:pPr>
        <w:spacing w:after="0"/>
        <w:jc w:val="both"/>
      </w:pPr>
    </w:p>
    <w:p w14:paraId="6041BD6D" w14:textId="6BBB380B" w:rsidR="000E632B" w:rsidRPr="00B47608" w:rsidRDefault="00455DFF" w:rsidP="000E632B">
      <w:pPr>
        <w:spacing w:after="0"/>
        <w:jc w:val="both"/>
      </w:pPr>
      <w:r w:rsidRPr="00B47608">
        <w:t>Il WTO ha recentemente pubblicato un report dal titolo “</w:t>
      </w:r>
      <w:r w:rsidR="00DB0B77" w:rsidRPr="00B47608">
        <w:t xml:space="preserve">Trading with Intelligence: How AI </w:t>
      </w:r>
      <w:proofErr w:type="spellStart"/>
      <w:r w:rsidR="00DB0B77" w:rsidRPr="00B47608">
        <w:t>Shapes</w:t>
      </w:r>
      <w:proofErr w:type="spellEnd"/>
      <w:r w:rsidR="00DB0B77" w:rsidRPr="00B47608">
        <w:t xml:space="preserve"> and </w:t>
      </w:r>
      <w:proofErr w:type="spellStart"/>
      <w:r w:rsidR="00DB0B77" w:rsidRPr="00B47608">
        <w:t>is</w:t>
      </w:r>
      <w:proofErr w:type="spellEnd"/>
      <w:r w:rsidR="00DB0B77" w:rsidRPr="00B47608">
        <w:t xml:space="preserve"> </w:t>
      </w:r>
      <w:proofErr w:type="spellStart"/>
      <w:r w:rsidR="00DB0B77" w:rsidRPr="00B47608">
        <w:t>Shaped</w:t>
      </w:r>
      <w:proofErr w:type="spellEnd"/>
      <w:r w:rsidR="00DB0B77" w:rsidRPr="00B47608">
        <w:t xml:space="preserve"> by International Trade</w:t>
      </w:r>
      <w:r w:rsidR="003A2859" w:rsidRPr="00B47608">
        <w:t xml:space="preserve">”. </w:t>
      </w:r>
      <w:r w:rsidRPr="00B47608">
        <w:t>Nel rapporto si esamina l'impatto dell'intelligenza artificiale (</w:t>
      </w:r>
      <w:r w:rsidR="00092AD3" w:rsidRPr="00B47608">
        <w:t>IA</w:t>
      </w:r>
      <w:r w:rsidRPr="00B47608">
        <w:t xml:space="preserve">) sul commercio internazionale, sottolineando come </w:t>
      </w:r>
      <w:bookmarkStart w:id="22" w:name="_Hlk190318115"/>
      <w:r w:rsidRPr="00B47608">
        <w:t>l'I</w:t>
      </w:r>
      <w:r w:rsidR="007B3956" w:rsidRPr="00B47608">
        <w:t>A</w:t>
      </w:r>
      <w:r w:rsidRPr="00B47608">
        <w:t xml:space="preserve"> possa portare a una riduzione dei costi, a un aumento della produttività e a una ristrutturazione del commercio globale.</w:t>
      </w:r>
      <w:bookmarkEnd w:id="22"/>
      <w:r w:rsidRPr="00B47608">
        <w:t xml:space="preserve"> Il rapporto mette in guardia anche </w:t>
      </w:r>
      <w:r w:rsidR="00C52F87" w:rsidRPr="00B47608">
        <w:t>rispetto al</w:t>
      </w:r>
      <w:r w:rsidRPr="00B47608">
        <w:t>le sfide poste dalla frammentazione normativa, dai dilemmi etici e dalla possibilità di una disparità nell'adozione dell'AI.</w:t>
      </w:r>
      <w:r w:rsidR="00E321DE" w:rsidRPr="00B47608">
        <w:t xml:space="preserve"> Provando a sintetizzare i risultati dell’analisi promossa dal WTO </w:t>
      </w:r>
      <w:r w:rsidR="000E632B" w:rsidRPr="00B47608">
        <w:t xml:space="preserve">è possibile affermare che </w:t>
      </w:r>
      <w:r w:rsidR="004D7D84" w:rsidRPr="00B47608">
        <w:t>l</w:t>
      </w:r>
      <w:r w:rsidR="000E632B" w:rsidRPr="00B47608">
        <w:t xml:space="preserve">'intelligenza artificiale (IA) dovrebbe avere un impatto significativo sul commercio internazionale, </w:t>
      </w:r>
      <w:r w:rsidR="00451026" w:rsidRPr="00B47608">
        <w:t>impattando su</w:t>
      </w:r>
      <w:r w:rsidR="000E632B" w:rsidRPr="00B47608">
        <w:t xml:space="preserve"> vari aspetti delle dinamiche commerciali globali</w:t>
      </w:r>
      <w:r w:rsidR="004D7D84" w:rsidRPr="00B47608">
        <w:t>:</w:t>
      </w:r>
    </w:p>
    <w:p w14:paraId="550CE5EC" w14:textId="77777777" w:rsidR="000E632B" w:rsidRPr="00B47608" w:rsidRDefault="000E632B" w:rsidP="000E632B">
      <w:pPr>
        <w:spacing w:after="0"/>
        <w:jc w:val="both"/>
      </w:pPr>
    </w:p>
    <w:p w14:paraId="160AD4E3" w14:textId="77777777" w:rsidR="00796A9F" w:rsidRPr="00B47608" w:rsidRDefault="000E632B" w:rsidP="006A7596">
      <w:pPr>
        <w:pStyle w:val="Paragrafoelenco"/>
        <w:numPr>
          <w:ilvl w:val="0"/>
          <w:numId w:val="5"/>
        </w:numPr>
        <w:spacing w:after="0"/>
        <w:jc w:val="both"/>
      </w:pPr>
      <w:r w:rsidRPr="00B47608">
        <w:rPr>
          <w:b/>
          <w:bCs/>
        </w:rPr>
        <w:t>Riduzione dei costi commerciali</w:t>
      </w:r>
      <w:r w:rsidRPr="00B47608">
        <w:t>: L'IA ha il potenziale per ridurre significativamente i costi commerciali migliorando la logistica commerciale, superando le barriere linguistiche e riducendo al minimo i costi di ricerca.</w:t>
      </w:r>
    </w:p>
    <w:p w14:paraId="6878A265" w14:textId="77777777" w:rsidR="00796A9F" w:rsidRPr="00B47608" w:rsidRDefault="000E632B" w:rsidP="006A7596">
      <w:pPr>
        <w:pStyle w:val="Paragrafoelenco"/>
        <w:numPr>
          <w:ilvl w:val="1"/>
          <w:numId w:val="5"/>
        </w:numPr>
        <w:spacing w:after="0"/>
        <w:jc w:val="both"/>
      </w:pPr>
      <w:r w:rsidRPr="00B47608">
        <w:t xml:space="preserve">Logistica commerciale: L'IA sta rivoluzionando la gestione della catena di approvvigionamento ottimizzando la gestione dell'inventario, la previsione della domanda e la logistica. I sistemi di IA possono prevedere la domanda, ottimizzare i livelli di inventario e migliorare l'evasione degli ordini analizzando i dati provenienti da varie fonti, inclusi i dispositivi Internet of </w:t>
      </w:r>
      <w:proofErr w:type="spellStart"/>
      <w:r w:rsidRPr="00B47608">
        <w:t>Things</w:t>
      </w:r>
      <w:proofErr w:type="spellEnd"/>
      <w:r w:rsidRPr="00B47608">
        <w:t xml:space="preserve"> (IoT). L'IA facilita il tracciamento e il monitoraggio in tempo reale delle spedizioni, fornendo una migliore visibilità, riducendo i ritardi e aumentando l'efficienza.</w:t>
      </w:r>
    </w:p>
    <w:p w14:paraId="50C3373A" w14:textId="77777777" w:rsidR="00E21A52" w:rsidRPr="00B47608" w:rsidRDefault="000E632B" w:rsidP="006A7596">
      <w:pPr>
        <w:pStyle w:val="Paragrafoelenco"/>
        <w:numPr>
          <w:ilvl w:val="1"/>
          <w:numId w:val="5"/>
        </w:numPr>
        <w:spacing w:after="0"/>
        <w:jc w:val="both"/>
      </w:pPr>
      <w:r w:rsidRPr="00B47608">
        <w:t>Barriere linguistiche: I sistemi di IA possono fornire traduzioni in tempo reale, facilitando la comunicazione tra persone che parlano lingue diverse. I sistemi di traduzione linguistica basati sull'IA possono fornire servizi di traduzione in tempo reale, consentendo una comunicazione fluida tra persone che parlano lingue diverse.</w:t>
      </w:r>
    </w:p>
    <w:p w14:paraId="6B8009BD" w14:textId="43ADB3D3" w:rsidR="000E632B" w:rsidRPr="00B47608" w:rsidRDefault="000E632B" w:rsidP="006A7596">
      <w:pPr>
        <w:pStyle w:val="Paragrafoelenco"/>
        <w:numPr>
          <w:ilvl w:val="1"/>
          <w:numId w:val="5"/>
        </w:numPr>
        <w:spacing w:after="0"/>
        <w:jc w:val="both"/>
      </w:pPr>
      <w:r w:rsidRPr="00B47608">
        <w:t xml:space="preserve">Costi di ricerca: </w:t>
      </w:r>
      <w:r w:rsidR="00E21A52" w:rsidRPr="00B47608">
        <w:t>l</w:t>
      </w:r>
      <w:r w:rsidRPr="00B47608">
        <w:t>'IA può ridurre i costi di ricerca e abbinamento nel commercio semplificando il processo di identificazione di potenziali partner commerciali. Gli algoritmi di ricerca basati sull'IA possono vagliare in modo efficiente grandi quantità di dati provenienti da varie fonti per identificare potenziali partner commerciali, fornitori, acquirenti e canali di distribuzione.</w:t>
      </w:r>
    </w:p>
    <w:p w14:paraId="2A029731" w14:textId="77777777" w:rsidR="000E632B" w:rsidRPr="00B47608" w:rsidRDefault="000E632B" w:rsidP="000E632B">
      <w:pPr>
        <w:spacing w:after="0"/>
        <w:jc w:val="both"/>
      </w:pPr>
    </w:p>
    <w:p w14:paraId="7A6AF91E" w14:textId="4AE0232C" w:rsidR="000E632B" w:rsidRPr="00B47608" w:rsidRDefault="000E632B" w:rsidP="006A7596">
      <w:pPr>
        <w:pStyle w:val="Paragrafoelenco"/>
        <w:numPr>
          <w:ilvl w:val="0"/>
          <w:numId w:val="5"/>
        </w:numPr>
        <w:spacing w:after="0"/>
        <w:jc w:val="both"/>
      </w:pPr>
      <w:r w:rsidRPr="00B47608">
        <w:rPr>
          <w:b/>
          <w:bCs/>
        </w:rPr>
        <w:t>Impatto su</w:t>
      </w:r>
      <w:r w:rsidR="002F00AF" w:rsidRPr="00B47608">
        <w:rPr>
          <w:b/>
          <w:bCs/>
        </w:rPr>
        <w:t xml:space="preserve">gli scambi </w:t>
      </w:r>
      <w:r w:rsidRPr="00B47608">
        <w:rPr>
          <w:b/>
          <w:bCs/>
        </w:rPr>
        <w:t>di servizi</w:t>
      </w:r>
      <w:r w:rsidRPr="00B47608">
        <w:t xml:space="preserve">: </w:t>
      </w:r>
    </w:p>
    <w:p w14:paraId="74E3DCDF" w14:textId="50160B9F" w:rsidR="000E632B" w:rsidRPr="00B47608" w:rsidRDefault="000E632B" w:rsidP="0036721A">
      <w:pPr>
        <w:pStyle w:val="Paragrafoelenco"/>
        <w:numPr>
          <w:ilvl w:val="1"/>
          <w:numId w:val="5"/>
        </w:numPr>
        <w:spacing w:after="0"/>
        <w:jc w:val="both"/>
      </w:pPr>
      <w:r w:rsidRPr="00B47608">
        <w:t>Aumento della produttività: L'IA può aumentare la produttività nei settori dei servizi che si basano su processi manuali. L'IA può integrare in modo significativo gli esseri umani nel miglioramento dell'efficienza, dell'accuratezza e del livello di personalizzazione.</w:t>
      </w:r>
    </w:p>
    <w:p w14:paraId="649D4348" w14:textId="248BA38F" w:rsidR="000E632B" w:rsidRPr="00B47608" w:rsidRDefault="000E632B" w:rsidP="0036721A">
      <w:pPr>
        <w:pStyle w:val="Paragrafoelenco"/>
        <w:numPr>
          <w:ilvl w:val="1"/>
          <w:numId w:val="5"/>
        </w:numPr>
        <w:spacing w:after="0"/>
        <w:jc w:val="both"/>
      </w:pPr>
      <w:r w:rsidRPr="00B47608">
        <w:t>Sviluppo di servizi innovativi: La capacità dell'IA di ricavare informazioni preziose da vasti set di dati è fondamentale per promuovere lo sviluppo di servizi innovativi. L'IA può anche consentire la personalizzazione dei servizi per soddisfare preferenze e casi d'uso specifici.</w:t>
      </w:r>
    </w:p>
    <w:p w14:paraId="002B0D22" w14:textId="1AF4D79B" w:rsidR="000E632B" w:rsidRPr="00B47608" w:rsidRDefault="000E632B" w:rsidP="0036721A">
      <w:pPr>
        <w:pStyle w:val="Paragrafoelenco"/>
        <w:numPr>
          <w:ilvl w:val="1"/>
          <w:numId w:val="5"/>
        </w:numPr>
        <w:spacing w:after="0"/>
        <w:jc w:val="both"/>
      </w:pPr>
      <w:r w:rsidRPr="00B47608">
        <w:t>Automazione e riduzione della domanda: L'IA può contribuire a ridurre la domanda di alcuni servizi tradizionali, poiché l'automazione guidata dall'IA può portare a una maggiore efficienza e produttività. L'automazione abilitata dall'IA può ridurre la necessità di esternalizzare determinati servizi.</w:t>
      </w:r>
    </w:p>
    <w:p w14:paraId="0EA37B04" w14:textId="09B29864" w:rsidR="006C6FB9" w:rsidRDefault="006C6FB9">
      <w:r>
        <w:br w:type="page"/>
      </w:r>
    </w:p>
    <w:p w14:paraId="238CD825" w14:textId="77777777" w:rsidR="000E632B" w:rsidRPr="00B47608" w:rsidRDefault="000E632B" w:rsidP="000E632B">
      <w:pPr>
        <w:spacing w:after="0"/>
        <w:jc w:val="both"/>
      </w:pPr>
    </w:p>
    <w:p w14:paraId="30B2FBA2" w14:textId="038FF41A" w:rsidR="000E632B" w:rsidRPr="00B47608" w:rsidRDefault="000E632B" w:rsidP="00A6700B">
      <w:pPr>
        <w:pStyle w:val="Paragrafoelenco"/>
        <w:numPr>
          <w:ilvl w:val="0"/>
          <w:numId w:val="5"/>
        </w:numPr>
        <w:spacing w:after="0"/>
        <w:jc w:val="both"/>
      </w:pPr>
      <w:r w:rsidRPr="00B47608">
        <w:rPr>
          <w:b/>
          <w:bCs/>
        </w:rPr>
        <w:t>Aumento della domanda e del commercio di prodotti correlati all'IA</w:t>
      </w:r>
      <w:r w:rsidRPr="00B47608">
        <w:t xml:space="preserve">: L'emergere dell'IA aumenterà la domanda e il commercio di prodotti correlati all'IA. La catena del valore dell'IA comporta una serie di prodotti e servizi e l'aumento dell'IA probabilmente aumenterà il commercio internazionale di beni e servizi correlati a tale </w:t>
      </w:r>
      <w:r w:rsidR="007667A2" w:rsidRPr="00B47608">
        <w:t>filiera</w:t>
      </w:r>
      <w:r w:rsidRPr="00B47608">
        <w:t>.</w:t>
      </w:r>
    </w:p>
    <w:p w14:paraId="5D6C3A04" w14:textId="77777777" w:rsidR="000E632B" w:rsidRPr="00B47608" w:rsidRDefault="000E632B" w:rsidP="000E632B">
      <w:pPr>
        <w:spacing w:after="0"/>
        <w:jc w:val="both"/>
      </w:pPr>
    </w:p>
    <w:p w14:paraId="1BFA9867" w14:textId="42086A09" w:rsidR="000E632B" w:rsidRPr="00B47608" w:rsidRDefault="000E632B" w:rsidP="00A6700B">
      <w:pPr>
        <w:pStyle w:val="Paragrafoelenco"/>
        <w:numPr>
          <w:ilvl w:val="0"/>
          <w:numId w:val="5"/>
        </w:numPr>
        <w:spacing w:after="0"/>
        <w:jc w:val="both"/>
      </w:pPr>
      <w:r w:rsidRPr="00B47608">
        <w:rPr>
          <w:b/>
          <w:bCs/>
        </w:rPr>
        <w:t>Rimodellamento dei vantaggi comparati delle economie</w:t>
      </w:r>
      <w:r w:rsidRPr="00B47608">
        <w:t xml:space="preserve">: L'IA può rimodellare i vantaggi comparati influenzando la </w:t>
      </w:r>
      <w:r w:rsidR="00EC5076" w:rsidRPr="00B47608">
        <w:t>produttività.</w:t>
      </w:r>
    </w:p>
    <w:p w14:paraId="77B55EF0" w14:textId="77777777" w:rsidR="000E632B" w:rsidRPr="00B47608" w:rsidRDefault="000E632B" w:rsidP="000E632B">
      <w:pPr>
        <w:spacing w:after="0"/>
        <w:jc w:val="both"/>
      </w:pPr>
    </w:p>
    <w:p w14:paraId="04080DE2" w14:textId="08EA1266" w:rsidR="000E632B" w:rsidRPr="00B47608" w:rsidRDefault="000E632B" w:rsidP="001B19EC">
      <w:pPr>
        <w:pStyle w:val="Paragrafoelenco"/>
        <w:numPr>
          <w:ilvl w:val="0"/>
          <w:numId w:val="6"/>
        </w:numPr>
        <w:spacing w:after="0"/>
        <w:jc w:val="both"/>
      </w:pPr>
      <w:r w:rsidRPr="00B47608">
        <w:t>Aumento della produttività: L'IA dovrebbe migliorare la produttività in tutti i settori dell'economia globale. L'IA può non solo migliorare la produttività, ma anche rimodellare la composizione degli input richiesti per la produzione, portando a una maggiore enfasi sull'investimento di capitale rispetto agli input di lavoro.</w:t>
      </w:r>
    </w:p>
    <w:p w14:paraId="2141C01C" w14:textId="77777777" w:rsidR="006F4B71" w:rsidRPr="00B47608" w:rsidRDefault="000E632B" w:rsidP="001B19EC">
      <w:pPr>
        <w:pStyle w:val="Paragrafoelenco"/>
        <w:numPr>
          <w:ilvl w:val="0"/>
          <w:numId w:val="6"/>
        </w:numPr>
        <w:spacing w:after="0"/>
        <w:jc w:val="both"/>
      </w:pPr>
      <w:r w:rsidRPr="00B47608">
        <w:t>Cambiamenti nelle dinamiche di produzione: L'IA può ridefinire il vantaggio comparat</w:t>
      </w:r>
      <w:r w:rsidR="006E5961" w:rsidRPr="00B47608">
        <w:t>o</w:t>
      </w:r>
      <w:r w:rsidRPr="00B47608">
        <w:t xml:space="preserve"> delle economie attraverso cambiamenti nelle dinamiche di produzione. L'ampia adozione dell'IA potrebbe svalutare il vantaggio comparat</w:t>
      </w:r>
      <w:r w:rsidR="006E5961" w:rsidRPr="00B47608">
        <w:t>o</w:t>
      </w:r>
      <w:r w:rsidRPr="00B47608">
        <w:t xml:space="preserve"> delle economie abbondanti di manodopera non qualificata, che potrebbero non essere in grado di utilizzare l'IA in modo efficace.</w:t>
      </w:r>
    </w:p>
    <w:p w14:paraId="41570E2E" w14:textId="631E6CD3" w:rsidR="00B94C3F" w:rsidRPr="00B47608" w:rsidRDefault="00B94C3F" w:rsidP="006F4B71">
      <w:pPr>
        <w:pStyle w:val="Paragrafoelenco"/>
        <w:spacing w:after="0"/>
        <w:ind w:left="1440"/>
        <w:jc w:val="both"/>
      </w:pPr>
      <w:r w:rsidRPr="00B47608">
        <w:br w:type="page"/>
      </w:r>
    </w:p>
    <w:p w14:paraId="13D5E9BE" w14:textId="22E804CC" w:rsidR="00B94C3F" w:rsidRPr="00B47608" w:rsidRDefault="00F45B64" w:rsidP="00ED2A57">
      <w:pPr>
        <w:pStyle w:val="Titolo2"/>
        <w:spacing w:after="0"/>
        <w:rPr>
          <w:rFonts w:asciiTheme="minorHAnsi" w:hAnsiTheme="minorHAnsi"/>
        </w:rPr>
      </w:pPr>
      <w:bookmarkStart w:id="23" w:name="_Toc193106863"/>
      <w:r w:rsidRPr="00B47608">
        <w:rPr>
          <w:rFonts w:asciiTheme="minorHAnsi" w:hAnsiTheme="minorHAnsi"/>
        </w:rPr>
        <w:lastRenderedPageBreak/>
        <w:t xml:space="preserve">6. </w:t>
      </w:r>
      <w:r w:rsidR="00B94C3F" w:rsidRPr="00B47608">
        <w:rPr>
          <w:rFonts w:asciiTheme="minorHAnsi" w:hAnsiTheme="minorHAnsi"/>
        </w:rPr>
        <w:t>Servizi per l’internazionalizzazione</w:t>
      </w:r>
      <w:bookmarkEnd w:id="23"/>
    </w:p>
    <w:p w14:paraId="00A5CE5A" w14:textId="77777777" w:rsidR="00B94C3F" w:rsidRPr="00B47608" w:rsidRDefault="00B94C3F" w:rsidP="00ED2A57">
      <w:pPr>
        <w:spacing w:after="0"/>
      </w:pPr>
    </w:p>
    <w:p w14:paraId="733C2E80" w14:textId="77777777" w:rsidR="00801A75" w:rsidRPr="00B47608" w:rsidRDefault="00801A75" w:rsidP="00ED2A57">
      <w:pPr>
        <w:spacing w:after="0"/>
      </w:pPr>
    </w:p>
    <w:p w14:paraId="4B54746F" w14:textId="57B887C4" w:rsidR="00494A76" w:rsidRPr="00B47608" w:rsidRDefault="00D23A57" w:rsidP="00ED2A57">
      <w:pPr>
        <w:spacing w:after="0"/>
        <w:jc w:val="both"/>
      </w:pPr>
      <w:r w:rsidRPr="00B47608">
        <w:t xml:space="preserve">A fronte dei grandi cambiamenti descritti quali sono le </w:t>
      </w:r>
      <w:r w:rsidR="00C74D01" w:rsidRPr="00B47608">
        <w:t xml:space="preserve">preferenze delle imprese rispetto agli strumenti e ai servizi che potrebbero essere </w:t>
      </w:r>
      <w:r w:rsidR="00937317" w:rsidRPr="00B47608">
        <w:t>introdotti</w:t>
      </w:r>
      <w:r w:rsidR="00C74D01" w:rsidRPr="00B47608">
        <w:t xml:space="preserve"> per accompagnarle in questo complicato processo di cambiamento</w:t>
      </w:r>
      <w:r w:rsidR="00D53D0F" w:rsidRPr="00B47608">
        <w:t>?</w:t>
      </w:r>
      <w:r w:rsidR="00B21FF0" w:rsidRPr="00B47608">
        <w:t xml:space="preserve"> </w:t>
      </w:r>
      <w:r w:rsidR="001E629B" w:rsidRPr="00B47608">
        <w:t xml:space="preserve">I risultati della rilevazione mostrano una distinzione tra i servizi considerati </w:t>
      </w:r>
      <w:r w:rsidR="008F6DF1" w:rsidRPr="00B47608">
        <w:t>a</w:t>
      </w:r>
      <w:r w:rsidR="001E629B" w:rsidRPr="00B47608">
        <w:t xml:space="preserve"> maggiore e minore utilità per l'internazionalizzazione. L'analisi dei mercati potenziali emerge come il servizio più apprezzato, con una media di 3,6 calcolata utilizzando le indicazioni espresse</w:t>
      </w:r>
      <w:r w:rsidR="008F6DF1" w:rsidRPr="00B47608">
        <w:t xml:space="preserve"> dalle imprese utilizzando</w:t>
      </w:r>
      <w:r w:rsidR="001E629B" w:rsidRPr="00B47608">
        <w:t xml:space="preserve"> una scala da 1</w:t>
      </w:r>
      <w:r w:rsidR="00A3057C" w:rsidRPr="00B47608">
        <w:t xml:space="preserve"> (minima utilità)</w:t>
      </w:r>
      <w:r w:rsidR="001E629B" w:rsidRPr="00B47608">
        <w:t xml:space="preserve"> a 5</w:t>
      </w:r>
      <w:r w:rsidR="00A3057C" w:rsidRPr="00B47608">
        <w:t xml:space="preserve"> (massima utilità)</w:t>
      </w:r>
      <w:r w:rsidR="008F6DF1" w:rsidRPr="00B47608">
        <w:t xml:space="preserve">. </w:t>
      </w:r>
      <w:r w:rsidR="00A3057C" w:rsidRPr="00B47608">
        <w:t>Le imprese manifestano, quindi,</w:t>
      </w:r>
      <w:r w:rsidR="001E629B" w:rsidRPr="00B47608">
        <w:t xml:space="preserve"> una forte necessità di comprendere il contesto in cui intendono operare. Al contrario, i servizi legati al digitale (consulenza su vendita e marketing digitale, webinar e convegni su temi legati al digitale e IA per l'export) e la ricerca individuale di clienti e fornitori tramite TEM o società di consulenza ottengono i punteggi più bassi, suggerendo una minore priorità o una percezione di minor efficacia di questi strumenti. I servizi "tradizionali" come fiere internazionali, incoming di operatori esteri e missioni economiche si posizionano in una fascia intermedia.</w:t>
      </w:r>
    </w:p>
    <w:p w14:paraId="12C9379F" w14:textId="77777777" w:rsidR="00D53D0F" w:rsidRPr="00B47608" w:rsidRDefault="00D53D0F" w:rsidP="00ED2A57">
      <w:pPr>
        <w:spacing w:after="0"/>
        <w:jc w:val="both"/>
      </w:pPr>
    </w:p>
    <w:p w14:paraId="7C9D4A82" w14:textId="77777777" w:rsidR="00801A75" w:rsidRPr="00B47608" w:rsidRDefault="00801A75" w:rsidP="00ED2A57">
      <w:pPr>
        <w:spacing w:after="0"/>
        <w:jc w:val="both"/>
        <w:rPr>
          <w:b/>
          <w:bCs/>
        </w:rPr>
      </w:pPr>
    </w:p>
    <w:p w14:paraId="0DE3B6E2" w14:textId="6B38C9A9" w:rsidR="0052111C" w:rsidRPr="00B47608" w:rsidRDefault="00D53D0F" w:rsidP="00ED2A57">
      <w:pPr>
        <w:spacing w:after="0"/>
        <w:jc w:val="both"/>
        <w:rPr>
          <w:b/>
          <w:bCs/>
        </w:rPr>
      </w:pPr>
      <w:r w:rsidRPr="00B47608">
        <w:rPr>
          <w:b/>
          <w:bCs/>
        </w:rPr>
        <w:t xml:space="preserve">Graf. </w:t>
      </w:r>
      <w:r w:rsidR="00D23A57" w:rsidRPr="00B47608">
        <w:rPr>
          <w:b/>
          <w:bCs/>
        </w:rPr>
        <w:t>6.</w:t>
      </w:r>
      <w:r w:rsidRPr="00B47608">
        <w:rPr>
          <w:b/>
          <w:bCs/>
        </w:rPr>
        <w:t>1</w:t>
      </w:r>
      <w:r w:rsidR="00D23A57" w:rsidRPr="00B47608">
        <w:rPr>
          <w:b/>
          <w:bCs/>
        </w:rPr>
        <w:t xml:space="preserve"> </w:t>
      </w:r>
      <w:r w:rsidR="00494A76" w:rsidRPr="00B47608">
        <w:rPr>
          <w:b/>
          <w:bCs/>
        </w:rPr>
        <w:t>A suo giudizio, qual è il grado di utilità dei seguenti servizi per l’internazionalizzazione?</w:t>
      </w:r>
      <w:r w:rsidR="004F0EF6" w:rsidRPr="00B47608">
        <w:rPr>
          <w:b/>
          <w:bCs/>
        </w:rPr>
        <w:t xml:space="preserve"> (1=minimo, 5=massimo)</w:t>
      </w:r>
    </w:p>
    <w:p w14:paraId="73B0DB04" w14:textId="7F769A9F" w:rsidR="00B94C3F" w:rsidRPr="00B47608" w:rsidRDefault="0052111C" w:rsidP="00ED2A57">
      <w:pPr>
        <w:spacing w:after="0"/>
      </w:pPr>
      <w:r w:rsidRPr="00B47608">
        <w:rPr>
          <w:noProof/>
        </w:rPr>
        <w:drawing>
          <wp:inline distT="0" distB="0" distL="0" distR="0" wp14:anchorId="0416C2BF" wp14:editId="5BBED3DD">
            <wp:extent cx="5376545" cy="4269851"/>
            <wp:effectExtent l="0" t="0" r="0" b="0"/>
            <wp:docPr id="1935603753" name="Grafico 1">
              <a:extLst xmlns:a="http://schemas.openxmlformats.org/drawingml/2006/main">
                <a:ext uri="{FF2B5EF4-FFF2-40B4-BE49-F238E27FC236}">
                  <a16:creationId xmlns:a16="http://schemas.microsoft.com/office/drawing/2014/main" id="{3627288B-03FE-7E7C-9120-6157DBB3B5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79ED2D8" w14:textId="77777777" w:rsidR="00494A76" w:rsidRPr="00B47608" w:rsidRDefault="00494A76" w:rsidP="00ED2A57">
      <w:pPr>
        <w:spacing w:after="0"/>
      </w:pPr>
      <w:r w:rsidRPr="00B47608">
        <w:t>Fonte: Fondazione Nord Est (463 casi)</w:t>
      </w:r>
    </w:p>
    <w:p w14:paraId="40D04159" w14:textId="77777777" w:rsidR="00B94C3F" w:rsidRPr="00B47608" w:rsidRDefault="00B94C3F" w:rsidP="00ED2A57">
      <w:pPr>
        <w:spacing w:after="0"/>
      </w:pPr>
    </w:p>
    <w:p w14:paraId="2B0AD27C" w14:textId="73BC5E13" w:rsidR="002D056B" w:rsidRDefault="00857F88" w:rsidP="00EA12A3">
      <w:pPr>
        <w:spacing w:after="0"/>
        <w:jc w:val="both"/>
      </w:pPr>
      <w:r w:rsidRPr="00B47608">
        <w:t xml:space="preserve">I risultati dell’indagine fanno emergere alcuni spunti interessanti rispetto </w:t>
      </w:r>
      <w:r w:rsidR="002B4C40" w:rsidRPr="00B47608">
        <w:t xml:space="preserve">all’offerta di servizi per l’internazionalizzazione. </w:t>
      </w:r>
      <w:r w:rsidR="000C0F10" w:rsidRPr="00B47608">
        <w:t>Le imprese chiedono</w:t>
      </w:r>
      <w:r w:rsidR="002D056B" w:rsidRPr="00B47608">
        <w:t xml:space="preserve"> analisi di mercato, </w:t>
      </w:r>
      <w:r w:rsidR="008A0B50" w:rsidRPr="00B47608">
        <w:t>evidenziando la necessità di avere a disposizioni</w:t>
      </w:r>
      <w:r w:rsidR="002D056B" w:rsidRPr="00B47608">
        <w:t xml:space="preserve"> informazioni sempre più dettagliate, personalizzate e tempestive, che rispondano alle </w:t>
      </w:r>
      <w:r w:rsidR="002D056B" w:rsidRPr="00B47608">
        <w:lastRenderedPageBreak/>
        <w:t xml:space="preserve">specifiche esigenze informative delle imprese. </w:t>
      </w:r>
      <w:r w:rsidR="00EA12A3" w:rsidRPr="00B47608">
        <w:t>I</w:t>
      </w:r>
      <w:r w:rsidR="002D056B" w:rsidRPr="00B47608">
        <w:t xml:space="preserve"> servizi tradizionali, quali fiere e missioni economiche, continuano a rivestire una certa importanza nel panorama dell'internazionalizzazione. </w:t>
      </w:r>
      <w:r w:rsidR="00A31FAC" w:rsidRPr="00B47608">
        <w:t>L</w:t>
      </w:r>
      <w:r w:rsidR="009A2625" w:rsidRPr="00B47608">
        <w:t>’</w:t>
      </w:r>
      <w:r w:rsidR="002D056B" w:rsidRPr="00B47608">
        <w:t>integra</w:t>
      </w:r>
      <w:r w:rsidR="009A2625" w:rsidRPr="00B47608">
        <w:t>zione di questi</w:t>
      </w:r>
      <w:r w:rsidR="002D056B" w:rsidRPr="00B47608">
        <w:t xml:space="preserve"> con strumenti digitali innovativi </w:t>
      </w:r>
      <w:r w:rsidR="009A2625" w:rsidRPr="00B47608">
        <w:t>potrebbe</w:t>
      </w:r>
      <w:r w:rsidR="002D056B" w:rsidRPr="00B47608">
        <w:t xml:space="preserve"> amplificarne l'efficacia e la portata. </w:t>
      </w:r>
    </w:p>
    <w:p w14:paraId="0F18BEAF" w14:textId="2AB90651" w:rsidR="00554E4F" w:rsidRPr="00B47608" w:rsidRDefault="00554E4F" w:rsidP="00EA12A3">
      <w:pPr>
        <w:spacing w:after="0"/>
        <w:jc w:val="both"/>
      </w:pPr>
      <w:bookmarkStart w:id="24" w:name="_Hlk192852225"/>
      <w:r w:rsidRPr="00525BF4">
        <w:t>Riguardo ai servizi digitali, i risultati dell'analisi mettono in luce un potenziale ancora poco esplorato, con alcune imprese che potrebbero non aver pienamente riconosciuto le opportunità offerte da questi strumenti in relazione alle loro reali esigenze.</w:t>
      </w:r>
      <w:r w:rsidRPr="00554E4F">
        <w:t xml:space="preserve"> </w:t>
      </w:r>
    </w:p>
    <w:p w14:paraId="0ABA0BE2" w14:textId="05ADEDC0" w:rsidR="001C3BED" w:rsidRPr="00B47608" w:rsidRDefault="00525BF4" w:rsidP="00857F88">
      <w:pPr>
        <w:spacing w:after="0"/>
        <w:jc w:val="both"/>
      </w:pPr>
      <w:r>
        <w:rPr>
          <w:color w:val="FF0000"/>
        </w:rPr>
        <w:t xml:space="preserve"> </w:t>
      </w:r>
      <w:bookmarkEnd w:id="24"/>
      <w:r w:rsidR="002D056B" w:rsidRPr="00554E4F">
        <w:rPr>
          <w:color w:val="000000" w:themeColor="text1"/>
        </w:rPr>
        <w:t>È possibile che le aziende abbiano già sviluppato competenze interne in ambito digitale, oppure che percepiscano l'offerta attuale come generica e poco applicabile al loro specifico contesto</w:t>
      </w:r>
      <w:r w:rsidR="004524C4" w:rsidRPr="00554E4F">
        <w:rPr>
          <w:color w:val="000000" w:themeColor="text1"/>
        </w:rPr>
        <w:t xml:space="preserve"> o ancora che </w:t>
      </w:r>
      <w:r w:rsidR="004524C4" w:rsidRPr="002030B7">
        <w:rPr>
          <w:color w:val="000000" w:themeColor="text1"/>
        </w:rPr>
        <w:t xml:space="preserve">la domanda </w:t>
      </w:r>
      <w:r w:rsidR="00962A5C" w:rsidRPr="002030B7">
        <w:rPr>
          <w:color w:val="000000" w:themeColor="text1"/>
        </w:rPr>
        <w:t xml:space="preserve">delle imprese </w:t>
      </w:r>
      <w:r w:rsidR="00C62242" w:rsidRPr="002030B7">
        <w:rPr>
          <w:color w:val="000000" w:themeColor="text1"/>
        </w:rPr>
        <w:t>di servizi innovativi</w:t>
      </w:r>
      <w:r w:rsidR="00C62242" w:rsidRPr="00554E4F">
        <w:rPr>
          <w:color w:val="000000" w:themeColor="text1"/>
        </w:rPr>
        <w:t xml:space="preserve"> (si pensi all’IA) </w:t>
      </w:r>
      <w:r w:rsidR="00C62242" w:rsidRPr="002030B7">
        <w:rPr>
          <w:color w:val="000000" w:themeColor="text1"/>
        </w:rPr>
        <w:t>non sia ancora matura</w:t>
      </w:r>
      <w:r w:rsidR="002D056B" w:rsidRPr="00554E4F">
        <w:rPr>
          <w:color w:val="000000" w:themeColor="text1"/>
        </w:rPr>
        <w:t>.</w:t>
      </w:r>
      <w:r w:rsidR="00962A5C" w:rsidRPr="00554E4F">
        <w:rPr>
          <w:color w:val="000000" w:themeColor="text1"/>
        </w:rPr>
        <w:t xml:space="preserve"> </w:t>
      </w:r>
      <w:r w:rsidR="005638C4" w:rsidRPr="00554E4F">
        <w:rPr>
          <w:color w:val="000000" w:themeColor="text1"/>
        </w:rPr>
        <w:t xml:space="preserve">La diffusione </w:t>
      </w:r>
      <w:r w:rsidR="003A48C6" w:rsidRPr="00554E4F">
        <w:rPr>
          <w:color w:val="000000" w:themeColor="text1"/>
        </w:rPr>
        <w:t xml:space="preserve">dell’IA </w:t>
      </w:r>
      <w:r w:rsidR="00687191" w:rsidRPr="00554E4F">
        <w:rPr>
          <w:color w:val="000000" w:themeColor="text1"/>
        </w:rPr>
        <w:t xml:space="preserve">fa intravedere un futuro molto </w:t>
      </w:r>
      <w:r w:rsidR="004D7D3B" w:rsidRPr="00554E4F">
        <w:rPr>
          <w:color w:val="000000" w:themeColor="text1"/>
        </w:rPr>
        <w:t>promettente</w:t>
      </w:r>
      <w:r w:rsidR="00687191" w:rsidRPr="00554E4F">
        <w:rPr>
          <w:color w:val="000000" w:themeColor="text1"/>
        </w:rPr>
        <w:t xml:space="preserve"> per una serie di nuovi servizi digitali per le imprese nell’ambito delle relazioni</w:t>
      </w:r>
      <w:r w:rsidR="004D7D3B" w:rsidRPr="00554E4F">
        <w:rPr>
          <w:color w:val="000000" w:themeColor="text1"/>
        </w:rPr>
        <w:t xml:space="preserve"> commerciali</w:t>
      </w:r>
      <w:r w:rsidR="00687191" w:rsidRPr="00554E4F">
        <w:rPr>
          <w:color w:val="000000" w:themeColor="text1"/>
        </w:rPr>
        <w:t xml:space="preserve"> internazionali </w:t>
      </w:r>
      <w:r w:rsidR="003A48C6" w:rsidRPr="00B47608">
        <w:t>(</w:t>
      </w:r>
      <w:r w:rsidR="00C51E45" w:rsidRPr="00B47608">
        <w:t>come vist</w:t>
      </w:r>
      <w:r w:rsidR="00200DF5" w:rsidRPr="00B47608">
        <w:t>o</w:t>
      </w:r>
      <w:r w:rsidR="00C51E45" w:rsidRPr="00B47608">
        <w:t xml:space="preserve"> nell’approfondimento</w:t>
      </w:r>
      <w:r w:rsidR="00200DF5" w:rsidRPr="00B47608">
        <w:t xml:space="preserve"> </w:t>
      </w:r>
      <w:r w:rsidR="004620A3" w:rsidRPr="00B47608">
        <w:t>“L’IA e il commercio internazionale” in coda al capitolo 5)</w:t>
      </w:r>
      <w:r w:rsidR="004D7D3B" w:rsidRPr="00B47608">
        <w:t>.</w:t>
      </w:r>
      <w:r w:rsidR="005638C4" w:rsidRPr="00B47608">
        <w:t xml:space="preserve"> </w:t>
      </w:r>
    </w:p>
    <w:p w14:paraId="5939B031" w14:textId="376B4772" w:rsidR="002D056B" w:rsidRPr="00B47608" w:rsidRDefault="002D056B" w:rsidP="00857F88">
      <w:pPr>
        <w:spacing w:after="0"/>
        <w:jc w:val="both"/>
      </w:pPr>
      <w:r w:rsidRPr="00B47608">
        <w:t>Per quanto riguarda i webinar e i convegni</w:t>
      </w:r>
      <w:r w:rsidR="00875832" w:rsidRPr="00B47608">
        <w:t xml:space="preserve"> </w:t>
      </w:r>
      <w:r w:rsidR="00337E5C" w:rsidRPr="00B47608">
        <w:t>nella</w:t>
      </w:r>
      <w:r w:rsidR="00875832" w:rsidRPr="00B47608">
        <w:t xml:space="preserve"> letteratura</w:t>
      </w:r>
      <w:r w:rsidR="00337E5C" w:rsidRPr="00B47608">
        <w:t xml:space="preserve"> scientifica</w:t>
      </w:r>
      <w:r w:rsidR="00875832" w:rsidRPr="00B47608">
        <w:t xml:space="preserve"> emerge come </w:t>
      </w:r>
      <w:r w:rsidR="00086BC0" w:rsidRPr="00B47608">
        <w:t>frequentemente</w:t>
      </w:r>
      <w:r w:rsidRPr="00B47608">
        <w:t xml:space="preserve"> la bassa valutazione </w:t>
      </w:r>
      <w:r w:rsidR="00875832" w:rsidRPr="00B47608">
        <w:t>da parte delle imprese venga</w:t>
      </w:r>
      <w:r w:rsidRPr="00B47608">
        <w:t xml:space="preserve"> attribuita a una mancanza di interattività o a una percezione di scarsa specificità dei contenuti. </w:t>
      </w:r>
      <w:r w:rsidR="00051B54" w:rsidRPr="00B47608">
        <w:t>Due elementi che vanno considerati nell’uso di questo tipo di strumento</w:t>
      </w:r>
      <w:r w:rsidRPr="00B47608">
        <w:t>. Infine, la percezione di un elevato rapporto costo-efficacia per la ricerca individuale di clienti e fornitori tramite TEM o società di consulenza potrebbe derivare dalla difficoltà di misurare concretamente il ritorno sull'investimento di tali servizi</w:t>
      </w:r>
      <w:r w:rsidR="00B746D4" w:rsidRPr="00B47608">
        <w:t xml:space="preserve">, è uno degli elementi critici rispetto all’utilizzo di </w:t>
      </w:r>
      <w:r w:rsidR="00A2070E" w:rsidRPr="00B47608">
        <w:t>tali azioni</w:t>
      </w:r>
      <w:r w:rsidRPr="00B47608">
        <w:t xml:space="preserve">. </w:t>
      </w:r>
    </w:p>
    <w:p w14:paraId="5C53B975" w14:textId="77777777" w:rsidR="004C7FF8" w:rsidRPr="00B47608" w:rsidRDefault="004C7FF8" w:rsidP="00ED2A57">
      <w:pPr>
        <w:spacing w:after="0"/>
      </w:pPr>
    </w:p>
    <w:p w14:paraId="3FACB55A" w14:textId="524394B6" w:rsidR="007A2750" w:rsidRPr="00B47608" w:rsidRDefault="00D53D0F" w:rsidP="00ED2A57">
      <w:pPr>
        <w:spacing w:after="0"/>
        <w:rPr>
          <w:b/>
          <w:bCs/>
        </w:rPr>
      </w:pPr>
      <w:r w:rsidRPr="00B47608">
        <w:rPr>
          <w:b/>
          <w:bCs/>
        </w:rPr>
        <w:t xml:space="preserve">Tab. 6.1 </w:t>
      </w:r>
      <w:r w:rsidR="007A2750" w:rsidRPr="00B47608">
        <w:rPr>
          <w:b/>
          <w:bCs/>
        </w:rPr>
        <w:t>A suo giudizio, qual è il grado di utilità dei seguenti servizi per l’internazionalizzazione? (1=minimo, 5=massimo)</w:t>
      </w:r>
      <w:r w:rsidR="00FF3537" w:rsidRPr="00B47608">
        <w:rPr>
          <w:b/>
          <w:bCs/>
        </w:rPr>
        <w:t xml:space="preserve"> (val.%)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21"/>
        <w:gridCol w:w="687"/>
        <w:gridCol w:w="687"/>
        <w:gridCol w:w="687"/>
        <w:gridCol w:w="687"/>
        <w:gridCol w:w="649"/>
        <w:gridCol w:w="724"/>
        <w:gridCol w:w="686"/>
      </w:tblGrid>
      <w:tr w:rsidR="00FD3396" w:rsidRPr="00B47608" w14:paraId="51B9C1DD" w14:textId="77777777" w:rsidTr="00A37431">
        <w:trPr>
          <w:trHeight w:val="288"/>
        </w:trPr>
        <w:tc>
          <w:tcPr>
            <w:tcW w:w="2503" w:type="pct"/>
            <w:shd w:val="clear" w:color="auto" w:fill="auto"/>
            <w:noWrap/>
            <w:vAlign w:val="bottom"/>
            <w:hideMark/>
          </w:tcPr>
          <w:p w14:paraId="2596B770" w14:textId="77777777" w:rsidR="00FD3396" w:rsidRPr="00FD3396" w:rsidRDefault="00FD3396" w:rsidP="00FD3396">
            <w:pPr>
              <w:spacing w:after="0" w:line="240" w:lineRule="auto"/>
              <w:rPr>
                <w:rFonts w:eastAsia="Times New Roman" w:cs="Times New Roman"/>
                <w:kern w:val="0"/>
                <w:sz w:val="16"/>
                <w:szCs w:val="16"/>
                <w:lang w:eastAsia="it-IT"/>
                <w14:ligatures w14:val="none"/>
              </w:rPr>
            </w:pPr>
          </w:p>
        </w:tc>
        <w:tc>
          <w:tcPr>
            <w:tcW w:w="357" w:type="pct"/>
            <w:shd w:val="clear" w:color="auto" w:fill="auto"/>
            <w:noWrap/>
            <w:vAlign w:val="center"/>
            <w:hideMark/>
          </w:tcPr>
          <w:p w14:paraId="22081942" w14:textId="45CAEBEF" w:rsidR="00FD3396" w:rsidRPr="00D61FA2" w:rsidRDefault="00FD3396" w:rsidP="00FD3396">
            <w:pPr>
              <w:spacing w:after="0" w:line="240" w:lineRule="auto"/>
              <w:jc w:val="center"/>
              <w:rPr>
                <w:rFonts w:eastAsia="Times New Roman" w:cs="Arial"/>
                <w:b/>
                <w:bCs/>
                <w:color w:val="000000"/>
                <w:kern w:val="0"/>
                <w:sz w:val="18"/>
                <w:szCs w:val="18"/>
                <w:lang w:eastAsia="it-IT"/>
                <w14:ligatures w14:val="none"/>
              </w:rPr>
            </w:pPr>
            <w:r w:rsidRPr="00D61FA2">
              <w:rPr>
                <w:rFonts w:eastAsia="Times New Roman" w:cs="Arial"/>
                <w:b/>
                <w:bCs/>
                <w:color w:val="000000"/>
                <w:kern w:val="0"/>
                <w:sz w:val="18"/>
                <w:szCs w:val="18"/>
                <w:lang w:eastAsia="it-IT"/>
                <w14:ligatures w14:val="none"/>
              </w:rPr>
              <w:t>1=min</w:t>
            </w:r>
          </w:p>
        </w:tc>
        <w:tc>
          <w:tcPr>
            <w:tcW w:w="357" w:type="pct"/>
            <w:shd w:val="clear" w:color="auto" w:fill="auto"/>
            <w:noWrap/>
            <w:vAlign w:val="center"/>
            <w:hideMark/>
          </w:tcPr>
          <w:p w14:paraId="2BBDBD17" w14:textId="77777777" w:rsidR="00FD3396" w:rsidRPr="00D61FA2" w:rsidRDefault="00FD3396" w:rsidP="00FD3396">
            <w:pPr>
              <w:spacing w:after="0" w:line="240" w:lineRule="auto"/>
              <w:jc w:val="center"/>
              <w:rPr>
                <w:rFonts w:eastAsia="Times New Roman" w:cs="Arial"/>
                <w:b/>
                <w:bCs/>
                <w:color w:val="000000"/>
                <w:kern w:val="0"/>
                <w:sz w:val="18"/>
                <w:szCs w:val="18"/>
                <w:lang w:eastAsia="it-IT"/>
                <w14:ligatures w14:val="none"/>
              </w:rPr>
            </w:pPr>
            <w:r w:rsidRPr="00D61FA2">
              <w:rPr>
                <w:rFonts w:eastAsia="Times New Roman" w:cs="Arial"/>
                <w:b/>
                <w:bCs/>
                <w:color w:val="000000"/>
                <w:kern w:val="0"/>
                <w:sz w:val="18"/>
                <w:szCs w:val="18"/>
                <w:lang w:eastAsia="it-IT"/>
                <w14:ligatures w14:val="none"/>
              </w:rPr>
              <w:t>2</w:t>
            </w:r>
          </w:p>
        </w:tc>
        <w:tc>
          <w:tcPr>
            <w:tcW w:w="357" w:type="pct"/>
            <w:shd w:val="clear" w:color="auto" w:fill="auto"/>
            <w:noWrap/>
            <w:vAlign w:val="center"/>
            <w:hideMark/>
          </w:tcPr>
          <w:p w14:paraId="290BD31B" w14:textId="77777777" w:rsidR="00FD3396" w:rsidRPr="00D61FA2" w:rsidRDefault="00FD3396" w:rsidP="00FD3396">
            <w:pPr>
              <w:spacing w:after="0" w:line="240" w:lineRule="auto"/>
              <w:jc w:val="center"/>
              <w:rPr>
                <w:rFonts w:eastAsia="Times New Roman" w:cs="Arial"/>
                <w:b/>
                <w:bCs/>
                <w:color w:val="000000"/>
                <w:kern w:val="0"/>
                <w:sz w:val="18"/>
                <w:szCs w:val="18"/>
                <w:lang w:eastAsia="it-IT"/>
                <w14:ligatures w14:val="none"/>
              </w:rPr>
            </w:pPr>
            <w:r w:rsidRPr="00D61FA2">
              <w:rPr>
                <w:rFonts w:eastAsia="Times New Roman" w:cs="Arial"/>
                <w:b/>
                <w:bCs/>
                <w:color w:val="000000"/>
                <w:kern w:val="0"/>
                <w:sz w:val="18"/>
                <w:szCs w:val="18"/>
                <w:lang w:eastAsia="it-IT"/>
                <w14:ligatures w14:val="none"/>
              </w:rPr>
              <w:t>3</w:t>
            </w:r>
          </w:p>
        </w:tc>
        <w:tc>
          <w:tcPr>
            <w:tcW w:w="357" w:type="pct"/>
            <w:shd w:val="clear" w:color="auto" w:fill="auto"/>
            <w:noWrap/>
            <w:vAlign w:val="center"/>
            <w:hideMark/>
          </w:tcPr>
          <w:p w14:paraId="45AE6BAE" w14:textId="77777777" w:rsidR="00FD3396" w:rsidRPr="00D61FA2" w:rsidRDefault="00FD3396" w:rsidP="00FD3396">
            <w:pPr>
              <w:spacing w:after="0" w:line="240" w:lineRule="auto"/>
              <w:jc w:val="center"/>
              <w:rPr>
                <w:rFonts w:eastAsia="Times New Roman" w:cs="Arial"/>
                <w:b/>
                <w:bCs/>
                <w:color w:val="000000"/>
                <w:kern w:val="0"/>
                <w:sz w:val="18"/>
                <w:szCs w:val="18"/>
                <w:lang w:eastAsia="it-IT"/>
                <w14:ligatures w14:val="none"/>
              </w:rPr>
            </w:pPr>
            <w:r w:rsidRPr="00D61FA2">
              <w:rPr>
                <w:rFonts w:eastAsia="Times New Roman" w:cs="Arial"/>
                <w:b/>
                <w:bCs/>
                <w:color w:val="000000"/>
                <w:kern w:val="0"/>
                <w:sz w:val="18"/>
                <w:szCs w:val="18"/>
                <w:lang w:eastAsia="it-IT"/>
                <w14:ligatures w14:val="none"/>
              </w:rPr>
              <w:t>4</w:t>
            </w:r>
          </w:p>
        </w:tc>
        <w:tc>
          <w:tcPr>
            <w:tcW w:w="337" w:type="pct"/>
            <w:shd w:val="clear" w:color="auto" w:fill="auto"/>
            <w:noWrap/>
            <w:vAlign w:val="center"/>
            <w:hideMark/>
          </w:tcPr>
          <w:p w14:paraId="4F65C6E1" w14:textId="27AD7BBD" w:rsidR="00FD3396" w:rsidRPr="00D61FA2" w:rsidRDefault="00FD3396" w:rsidP="00FD3396">
            <w:pPr>
              <w:spacing w:after="0" w:line="240" w:lineRule="auto"/>
              <w:jc w:val="center"/>
              <w:rPr>
                <w:rFonts w:eastAsia="Times New Roman" w:cs="Arial"/>
                <w:b/>
                <w:bCs/>
                <w:color w:val="000000"/>
                <w:kern w:val="0"/>
                <w:sz w:val="18"/>
                <w:szCs w:val="18"/>
                <w:lang w:eastAsia="it-IT"/>
                <w14:ligatures w14:val="none"/>
              </w:rPr>
            </w:pPr>
            <w:r w:rsidRPr="00D61FA2">
              <w:rPr>
                <w:rFonts w:eastAsia="Times New Roman" w:cs="Arial"/>
                <w:b/>
                <w:bCs/>
                <w:color w:val="000000"/>
                <w:kern w:val="0"/>
                <w:sz w:val="18"/>
                <w:szCs w:val="18"/>
                <w:lang w:eastAsia="it-IT"/>
                <w14:ligatures w14:val="none"/>
              </w:rPr>
              <w:t>5=ma</w:t>
            </w:r>
            <w:r w:rsidR="00D61FA2" w:rsidRPr="00D61FA2">
              <w:rPr>
                <w:rFonts w:eastAsia="Times New Roman" w:cs="Arial"/>
                <w:b/>
                <w:bCs/>
                <w:color w:val="000000"/>
                <w:kern w:val="0"/>
                <w:sz w:val="18"/>
                <w:szCs w:val="18"/>
                <w:lang w:eastAsia="it-IT"/>
                <w14:ligatures w14:val="none"/>
              </w:rPr>
              <w:t>x</w:t>
            </w:r>
          </w:p>
        </w:tc>
        <w:tc>
          <w:tcPr>
            <w:tcW w:w="376" w:type="pct"/>
            <w:shd w:val="clear" w:color="auto" w:fill="auto"/>
            <w:noWrap/>
            <w:vAlign w:val="center"/>
            <w:hideMark/>
          </w:tcPr>
          <w:p w14:paraId="0E8B8952" w14:textId="77777777" w:rsidR="00FD3396" w:rsidRPr="00D61FA2" w:rsidRDefault="00FD3396" w:rsidP="00FD3396">
            <w:pPr>
              <w:spacing w:after="0" w:line="240" w:lineRule="auto"/>
              <w:jc w:val="center"/>
              <w:rPr>
                <w:rFonts w:eastAsia="Times New Roman" w:cs="Calibri"/>
                <w:b/>
                <w:bCs/>
                <w:color w:val="000000"/>
                <w:kern w:val="0"/>
                <w:sz w:val="18"/>
                <w:szCs w:val="18"/>
                <w:lang w:eastAsia="it-IT"/>
                <w14:ligatures w14:val="none"/>
              </w:rPr>
            </w:pPr>
            <w:proofErr w:type="spellStart"/>
            <w:r w:rsidRPr="00D61FA2">
              <w:rPr>
                <w:rFonts w:eastAsia="Times New Roman" w:cs="Calibri"/>
                <w:b/>
                <w:bCs/>
                <w:color w:val="000000"/>
                <w:kern w:val="0"/>
                <w:sz w:val="18"/>
                <w:szCs w:val="18"/>
                <w:lang w:eastAsia="it-IT"/>
                <w14:ligatures w14:val="none"/>
              </w:rPr>
              <w:t>n.r</w:t>
            </w:r>
            <w:proofErr w:type="spellEnd"/>
            <w:r w:rsidRPr="00D61FA2">
              <w:rPr>
                <w:rFonts w:eastAsia="Times New Roman" w:cs="Calibri"/>
                <w:b/>
                <w:bCs/>
                <w:color w:val="000000"/>
                <w:kern w:val="0"/>
                <w:sz w:val="18"/>
                <w:szCs w:val="18"/>
                <w:lang w:eastAsia="it-IT"/>
                <w14:ligatures w14:val="none"/>
              </w:rPr>
              <w:t>.</w:t>
            </w:r>
          </w:p>
        </w:tc>
        <w:tc>
          <w:tcPr>
            <w:tcW w:w="357" w:type="pct"/>
            <w:shd w:val="clear" w:color="auto" w:fill="auto"/>
            <w:noWrap/>
            <w:vAlign w:val="center"/>
            <w:hideMark/>
          </w:tcPr>
          <w:p w14:paraId="1A1FD1A1" w14:textId="77777777" w:rsidR="00FD3396" w:rsidRPr="00D61FA2" w:rsidRDefault="00FD3396" w:rsidP="00FD3396">
            <w:pPr>
              <w:spacing w:after="0" w:line="240" w:lineRule="auto"/>
              <w:jc w:val="center"/>
              <w:rPr>
                <w:rFonts w:eastAsia="Times New Roman" w:cs="Arial"/>
                <w:b/>
                <w:bCs/>
                <w:color w:val="000000"/>
                <w:kern w:val="0"/>
                <w:sz w:val="18"/>
                <w:szCs w:val="18"/>
                <w:lang w:eastAsia="it-IT"/>
                <w14:ligatures w14:val="none"/>
              </w:rPr>
            </w:pPr>
            <w:r w:rsidRPr="00D61FA2">
              <w:rPr>
                <w:rFonts w:eastAsia="Times New Roman" w:cs="Arial"/>
                <w:b/>
                <w:bCs/>
                <w:color w:val="000000"/>
                <w:kern w:val="0"/>
                <w:sz w:val="18"/>
                <w:szCs w:val="18"/>
                <w:lang w:eastAsia="it-IT"/>
                <w14:ligatures w14:val="none"/>
              </w:rPr>
              <w:t>3+4+5</w:t>
            </w:r>
          </w:p>
        </w:tc>
      </w:tr>
      <w:tr w:rsidR="00FD3396" w:rsidRPr="00B47608" w14:paraId="118ECB10" w14:textId="77777777" w:rsidTr="00A37431">
        <w:trPr>
          <w:trHeight w:val="288"/>
        </w:trPr>
        <w:tc>
          <w:tcPr>
            <w:tcW w:w="2503" w:type="pct"/>
            <w:shd w:val="clear" w:color="auto" w:fill="auto"/>
            <w:noWrap/>
            <w:vAlign w:val="center"/>
            <w:hideMark/>
          </w:tcPr>
          <w:p w14:paraId="5E4F13D9" w14:textId="77777777" w:rsidR="00FD3396" w:rsidRPr="00D61FA2" w:rsidRDefault="00FD3396" w:rsidP="00FD3396">
            <w:pPr>
              <w:spacing w:after="0" w:line="240" w:lineRule="auto"/>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 xml:space="preserve">Analisi mercati potenziali (situazione geopolitica, rischio Paese, dati statistici dei flussi import/export per prodotto, </w:t>
            </w:r>
            <w:r w:rsidRPr="00A37431">
              <w:rPr>
                <w:rFonts w:eastAsia="Times New Roman" w:cs="Calibri"/>
                <w:color w:val="000000"/>
                <w:kern w:val="0"/>
                <w:sz w:val="18"/>
                <w:szCs w:val="18"/>
                <w:lang w:eastAsia="it-IT"/>
                <w14:ligatures w14:val="none"/>
              </w:rPr>
              <w:t>ecc.</w:t>
            </w:r>
            <w:r w:rsidRPr="00D61FA2">
              <w:rPr>
                <w:rFonts w:eastAsia="Times New Roman" w:cs="Calibri"/>
                <w:color w:val="000000"/>
                <w:kern w:val="0"/>
                <w:sz w:val="18"/>
                <w:szCs w:val="18"/>
                <w:lang w:eastAsia="it-IT"/>
                <w14:ligatures w14:val="none"/>
              </w:rPr>
              <w:t>)</w:t>
            </w:r>
          </w:p>
        </w:tc>
        <w:tc>
          <w:tcPr>
            <w:tcW w:w="357" w:type="pct"/>
            <w:shd w:val="clear" w:color="auto" w:fill="auto"/>
            <w:noWrap/>
            <w:vAlign w:val="center"/>
            <w:hideMark/>
          </w:tcPr>
          <w:p w14:paraId="1AB9607F" w14:textId="77777777" w:rsidR="00FD3396" w:rsidRPr="00D61FA2" w:rsidRDefault="00FD3396" w:rsidP="00FD3396">
            <w:pPr>
              <w:spacing w:after="0" w:line="240" w:lineRule="auto"/>
              <w:jc w:val="right"/>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3,8%</w:t>
            </w:r>
          </w:p>
        </w:tc>
        <w:tc>
          <w:tcPr>
            <w:tcW w:w="357" w:type="pct"/>
            <w:shd w:val="clear" w:color="auto" w:fill="auto"/>
            <w:noWrap/>
            <w:vAlign w:val="center"/>
            <w:hideMark/>
          </w:tcPr>
          <w:p w14:paraId="54B7BADB" w14:textId="77777777" w:rsidR="00FD3396" w:rsidRPr="00D61FA2" w:rsidRDefault="00FD3396" w:rsidP="00FD3396">
            <w:pPr>
              <w:spacing w:after="0" w:line="240" w:lineRule="auto"/>
              <w:jc w:val="right"/>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9,1%</w:t>
            </w:r>
          </w:p>
        </w:tc>
        <w:tc>
          <w:tcPr>
            <w:tcW w:w="357" w:type="pct"/>
            <w:shd w:val="clear" w:color="auto" w:fill="auto"/>
            <w:noWrap/>
            <w:vAlign w:val="center"/>
            <w:hideMark/>
          </w:tcPr>
          <w:p w14:paraId="278851C8" w14:textId="77777777" w:rsidR="00FD3396" w:rsidRPr="00D61FA2" w:rsidRDefault="00FD3396" w:rsidP="00FD3396">
            <w:pPr>
              <w:spacing w:after="0" w:line="240" w:lineRule="auto"/>
              <w:jc w:val="right"/>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29,4%</w:t>
            </w:r>
          </w:p>
        </w:tc>
        <w:tc>
          <w:tcPr>
            <w:tcW w:w="357" w:type="pct"/>
            <w:shd w:val="clear" w:color="auto" w:fill="auto"/>
            <w:noWrap/>
            <w:vAlign w:val="center"/>
            <w:hideMark/>
          </w:tcPr>
          <w:p w14:paraId="33B6208D" w14:textId="77777777" w:rsidR="00FD3396" w:rsidRPr="00D61FA2" w:rsidRDefault="00FD3396" w:rsidP="00FD3396">
            <w:pPr>
              <w:spacing w:after="0" w:line="240" w:lineRule="auto"/>
              <w:jc w:val="right"/>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28,2%</w:t>
            </w:r>
          </w:p>
        </w:tc>
        <w:tc>
          <w:tcPr>
            <w:tcW w:w="337" w:type="pct"/>
            <w:shd w:val="clear" w:color="auto" w:fill="auto"/>
            <w:noWrap/>
            <w:vAlign w:val="center"/>
            <w:hideMark/>
          </w:tcPr>
          <w:p w14:paraId="6D0B9238" w14:textId="77777777" w:rsidR="00FD3396" w:rsidRPr="00D61FA2" w:rsidRDefault="00FD3396" w:rsidP="00FD3396">
            <w:pPr>
              <w:spacing w:after="0" w:line="240" w:lineRule="auto"/>
              <w:jc w:val="right"/>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20,2%</w:t>
            </w:r>
          </w:p>
        </w:tc>
        <w:tc>
          <w:tcPr>
            <w:tcW w:w="376" w:type="pct"/>
            <w:shd w:val="clear" w:color="auto" w:fill="auto"/>
            <w:noWrap/>
            <w:vAlign w:val="center"/>
            <w:hideMark/>
          </w:tcPr>
          <w:p w14:paraId="6FF555BE" w14:textId="77777777" w:rsidR="00FD3396" w:rsidRPr="00D61FA2" w:rsidRDefault="00FD3396" w:rsidP="00FD3396">
            <w:pPr>
              <w:spacing w:after="0" w:line="240" w:lineRule="auto"/>
              <w:jc w:val="right"/>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9,4%</w:t>
            </w:r>
          </w:p>
        </w:tc>
        <w:tc>
          <w:tcPr>
            <w:tcW w:w="357" w:type="pct"/>
            <w:shd w:val="clear" w:color="auto" w:fill="auto"/>
            <w:noWrap/>
            <w:vAlign w:val="center"/>
            <w:hideMark/>
          </w:tcPr>
          <w:p w14:paraId="31E74D57" w14:textId="77777777" w:rsidR="00FD3396" w:rsidRPr="00D61FA2" w:rsidRDefault="00FD3396" w:rsidP="00FD3396">
            <w:pPr>
              <w:spacing w:after="0" w:line="240" w:lineRule="auto"/>
              <w:jc w:val="right"/>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77,8%</w:t>
            </w:r>
          </w:p>
        </w:tc>
      </w:tr>
      <w:tr w:rsidR="00FD3396" w:rsidRPr="00B47608" w14:paraId="44F85A0B" w14:textId="77777777" w:rsidTr="00A37431">
        <w:trPr>
          <w:trHeight w:val="288"/>
        </w:trPr>
        <w:tc>
          <w:tcPr>
            <w:tcW w:w="2503" w:type="pct"/>
            <w:shd w:val="clear" w:color="auto" w:fill="auto"/>
            <w:noWrap/>
            <w:vAlign w:val="center"/>
            <w:hideMark/>
          </w:tcPr>
          <w:p w14:paraId="2E10F117" w14:textId="77777777" w:rsidR="00FD3396" w:rsidRPr="00D61FA2" w:rsidRDefault="00FD3396" w:rsidP="00FD3396">
            <w:pPr>
              <w:spacing w:after="0" w:line="240" w:lineRule="auto"/>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Fiere internazionali</w:t>
            </w:r>
          </w:p>
        </w:tc>
        <w:tc>
          <w:tcPr>
            <w:tcW w:w="357" w:type="pct"/>
            <w:shd w:val="clear" w:color="auto" w:fill="auto"/>
            <w:noWrap/>
            <w:vAlign w:val="center"/>
            <w:hideMark/>
          </w:tcPr>
          <w:p w14:paraId="5AFDD5BF" w14:textId="77777777" w:rsidR="00FD3396" w:rsidRPr="00D61FA2" w:rsidRDefault="00FD3396" w:rsidP="00FD3396">
            <w:pPr>
              <w:spacing w:after="0" w:line="240" w:lineRule="auto"/>
              <w:jc w:val="right"/>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5,5%</w:t>
            </w:r>
          </w:p>
        </w:tc>
        <w:tc>
          <w:tcPr>
            <w:tcW w:w="357" w:type="pct"/>
            <w:shd w:val="clear" w:color="auto" w:fill="auto"/>
            <w:noWrap/>
            <w:vAlign w:val="center"/>
            <w:hideMark/>
          </w:tcPr>
          <w:p w14:paraId="56FDEAC9" w14:textId="77777777" w:rsidR="00FD3396" w:rsidRPr="00D61FA2" w:rsidRDefault="00FD3396" w:rsidP="00FD3396">
            <w:pPr>
              <w:spacing w:after="0" w:line="240" w:lineRule="auto"/>
              <w:jc w:val="right"/>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11,7%</w:t>
            </w:r>
          </w:p>
        </w:tc>
        <w:tc>
          <w:tcPr>
            <w:tcW w:w="357" w:type="pct"/>
            <w:shd w:val="clear" w:color="auto" w:fill="auto"/>
            <w:noWrap/>
            <w:vAlign w:val="center"/>
            <w:hideMark/>
          </w:tcPr>
          <w:p w14:paraId="6624F829" w14:textId="77777777" w:rsidR="00FD3396" w:rsidRPr="00D61FA2" w:rsidRDefault="00FD3396" w:rsidP="00FD3396">
            <w:pPr>
              <w:spacing w:after="0" w:line="240" w:lineRule="auto"/>
              <w:jc w:val="right"/>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28,6%</w:t>
            </w:r>
          </w:p>
        </w:tc>
        <w:tc>
          <w:tcPr>
            <w:tcW w:w="357" w:type="pct"/>
            <w:shd w:val="clear" w:color="auto" w:fill="auto"/>
            <w:noWrap/>
            <w:vAlign w:val="center"/>
            <w:hideMark/>
          </w:tcPr>
          <w:p w14:paraId="33512040" w14:textId="77777777" w:rsidR="00FD3396" w:rsidRPr="00D61FA2" w:rsidRDefault="00FD3396" w:rsidP="00FD3396">
            <w:pPr>
              <w:spacing w:after="0" w:line="240" w:lineRule="auto"/>
              <w:jc w:val="right"/>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32,7%</w:t>
            </w:r>
          </w:p>
        </w:tc>
        <w:tc>
          <w:tcPr>
            <w:tcW w:w="337" w:type="pct"/>
            <w:shd w:val="clear" w:color="auto" w:fill="auto"/>
            <w:noWrap/>
            <w:vAlign w:val="center"/>
            <w:hideMark/>
          </w:tcPr>
          <w:p w14:paraId="4A4F0B8B" w14:textId="77777777" w:rsidR="00FD3396" w:rsidRPr="00D61FA2" w:rsidRDefault="00FD3396" w:rsidP="00FD3396">
            <w:pPr>
              <w:spacing w:after="0" w:line="240" w:lineRule="auto"/>
              <w:jc w:val="right"/>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13,8%</w:t>
            </w:r>
          </w:p>
        </w:tc>
        <w:tc>
          <w:tcPr>
            <w:tcW w:w="376" w:type="pct"/>
            <w:shd w:val="clear" w:color="auto" w:fill="auto"/>
            <w:noWrap/>
            <w:vAlign w:val="center"/>
            <w:hideMark/>
          </w:tcPr>
          <w:p w14:paraId="557ABA99" w14:textId="77777777" w:rsidR="00FD3396" w:rsidRPr="00D61FA2" w:rsidRDefault="00FD3396" w:rsidP="00FD3396">
            <w:pPr>
              <w:spacing w:after="0" w:line="240" w:lineRule="auto"/>
              <w:jc w:val="right"/>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7,6%</w:t>
            </w:r>
          </w:p>
        </w:tc>
        <w:tc>
          <w:tcPr>
            <w:tcW w:w="357" w:type="pct"/>
            <w:shd w:val="clear" w:color="auto" w:fill="auto"/>
            <w:noWrap/>
            <w:vAlign w:val="center"/>
            <w:hideMark/>
          </w:tcPr>
          <w:p w14:paraId="60555706" w14:textId="77777777" w:rsidR="00FD3396" w:rsidRPr="00D61FA2" w:rsidRDefault="00FD3396" w:rsidP="00FD3396">
            <w:pPr>
              <w:spacing w:after="0" w:line="240" w:lineRule="auto"/>
              <w:jc w:val="right"/>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75,1%</w:t>
            </w:r>
          </w:p>
        </w:tc>
      </w:tr>
      <w:tr w:rsidR="00FD3396" w:rsidRPr="00B47608" w14:paraId="493B5BF0" w14:textId="77777777" w:rsidTr="00A37431">
        <w:trPr>
          <w:trHeight w:val="288"/>
        </w:trPr>
        <w:tc>
          <w:tcPr>
            <w:tcW w:w="2503" w:type="pct"/>
            <w:shd w:val="clear" w:color="auto" w:fill="auto"/>
            <w:noWrap/>
            <w:vAlign w:val="center"/>
            <w:hideMark/>
          </w:tcPr>
          <w:p w14:paraId="06A3422C" w14:textId="77777777" w:rsidR="00FD3396" w:rsidRPr="00D61FA2" w:rsidRDefault="00FD3396" w:rsidP="00FD3396">
            <w:pPr>
              <w:spacing w:after="0" w:line="240" w:lineRule="auto"/>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Missioni economiche all’estero (incontri B2B)</w:t>
            </w:r>
          </w:p>
        </w:tc>
        <w:tc>
          <w:tcPr>
            <w:tcW w:w="357" w:type="pct"/>
            <w:shd w:val="clear" w:color="auto" w:fill="auto"/>
            <w:noWrap/>
            <w:vAlign w:val="center"/>
            <w:hideMark/>
          </w:tcPr>
          <w:p w14:paraId="402E5439" w14:textId="77777777" w:rsidR="00FD3396" w:rsidRPr="00D61FA2" w:rsidRDefault="00FD3396" w:rsidP="00FD3396">
            <w:pPr>
              <w:spacing w:after="0" w:line="240" w:lineRule="auto"/>
              <w:jc w:val="right"/>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10,0%</w:t>
            </w:r>
          </w:p>
        </w:tc>
        <w:tc>
          <w:tcPr>
            <w:tcW w:w="357" w:type="pct"/>
            <w:shd w:val="clear" w:color="auto" w:fill="auto"/>
            <w:noWrap/>
            <w:vAlign w:val="center"/>
            <w:hideMark/>
          </w:tcPr>
          <w:p w14:paraId="4C61D810" w14:textId="77777777" w:rsidR="00FD3396" w:rsidRPr="00D61FA2" w:rsidRDefault="00FD3396" w:rsidP="00FD3396">
            <w:pPr>
              <w:spacing w:after="0" w:line="240" w:lineRule="auto"/>
              <w:jc w:val="right"/>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17,1%</w:t>
            </w:r>
          </w:p>
        </w:tc>
        <w:tc>
          <w:tcPr>
            <w:tcW w:w="357" w:type="pct"/>
            <w:shd w:val="clear" w:color="auto" w:fill="auto"/>
            <w:noWrap/>
            <w:vAlign w:val="center"/>
            <w:hideMark/>
          </w:tcPr>
          <w:p w14:paraId="60AAB0FB" w14:textId="77777777" w:rsidR="00FD3396" w:rsidRPr="00D61FA2" w:rsidRDefault="00FD3396" w:rsidP="00FD3396">
            <w:pPr>
              <w:spacing w:after="0" w:line="240" w:lineRule="auto"/>
              <w:jc w:val="right"/>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29,2%</w:t>
            </w:r>
          </w:p>
        </w:tc>
        <w:tc>
          <w:tcPr>
            <w:tcW w:w="357" w:type="pct"/>
            <w:shd w:val="clear" w:color="auto" w:fill="auto"/>
            <w:noWrap/>
            <w:vAlign w:val="center"/>
            <w:hideMark/>
          </w:tcPr>
          <w:p w14:paraId="0F547EDA" w14:textId="77777777" w:rsidR="00FD3396" w:rsidRPr="00D61FA2" w:rsidRDefault="00FD3396" w:rsidP="00FD3396">
            <w:pPr>
              <w:spacing w:after="0" w:line="240" w:lineRule="auto"/>
              <w:jc w:val="right"/>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23,3%</w:t>
            </w:r>
          </w:p>
        </w:tc>
        <w:tc>
          <w:tcPr>
            <w:tcW w:w="337" w:type="pct"/>
            <w:shd w:val="clear" w:color="auto" w:fill="auto"/>
            <w:noWrap/>
            <w:vAlign w:val="center"/>
            <w:hideMark/>
          </w:tcPr>
          <w:p w14:paraId="379339BA" w14:textId="77777777" w:rsidR="00FD3396" w:rsidRPr="00D61FA2" w:rsidRDefault="00FD3396" w:rsidP="00FD3396">
            <w:pPr>
              <w:spacing w:after="0" w:line="240" w:lineRule="auto"/>
              <w:jc w:val="right"/>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9,3%</w:t>
            </w:r>
          </w:p>
        </w:tc>
        <w:tc>
          <w:tcPr>
            <w:tcW w:w="376" w:type="pct"/>
            <w:shd w:val="clear" w:color="auto" w:fill="auto"/>
            <w:noWrap/>
            <w:vAlign w:val="center"/>
            <w:hideMark/>
          </w:tcPr>
          <w:p w14:paraId="261A67D1" w14:textId="77777777" w:rsidR="00FD3396" w:rsidRPr="00D61FA2" w:rsidRDefault="00FD3396" w:rsidP="00FD3396">
            <w:pPr>
              <w:spacing w:after="0" w:line="240" w:lineRule="auto"/>
              <w:jc w:val="right"/>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11,2%</w:t>
            </w:r>
          </w:p>
        </w:tc>
        <w:tc>
          <w:tcPr>
            <w:tcW w:w="357" w:type="pct"/>
            <w:shd w:val="clear" w:color="auto" w:fill="auto"/>
            <w:noWrap/>
            <w:vAlign w:val="center"/>
            <w:hideMark/>
          </w:tcPr>
          <w:p w14:paraId="5E0D8F32" w14:textId="77777777" w:rsidR="00FD3396" w:rsidRPr="00D61FA2" w:rsidRDefault="00FD3396" w:rsidP="00FD3396">
            <w:pPr>
              <w:spacing w:after="0" w:line="240" w:lineRule="auto"/>
              <w:jc w:val="right"/>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61,8%</w:t>
            </w:r>
          </w:p>
        </w:tc>
      </w:tr>
      <w:tr w:rsidR="00FD3396" w:rsidRPr="00B47608" w14:paraId="103C956C" w14:textId="77777777" w:rsidTr="00A37431">
        <w:trPr>
          <w:trHeight w:val="288"/>
        </w:trPr>
        <w:tc>
          <w:tcPr>
            <w:tcW w:w="2503" w:type="pct"/>
            <w:shd w:val="clear" w:color="auto" w:fill="auto"/>
            <w:noWrap/>
            <w:vAlign w:val="center"/>
            <w:hideMark/>
          </w:tcPr>
          <w:p w14:paraId="0542D9D0" w14:textId="77777777" w:rsidR="00FD3396" w:rsidRPr="00D61FA2" w:rsidRDefault="00FD3396" w:rsidP="00FD3396">
            <w:pPr>
              <w:spacing w:after="0" w:line="240" w:lineRule="auto"/>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Primo orientamento su certificazioni e standard di prodotto nei mercati extra UE</w:t>
            </w:r>
          </w:p>
        </w:tc>
        <w:tc>
          <w:tcPr>
            <w:tcW w:w="357" w:type="pct"/>
            <w:shd w:val="clear" w:color="auto" w:fill="auto"/>
            <w:noWrap/>
            <w:vAlign w:val="center"/>
            <w:hideMark/>
          </w:tcPr>
          <w:p w14:paraId="70AAA8F2" w14:textId="77777777" w:rsidR="00FD3396" w:rsidRPr="00D61FA2" w:rsidRDefault="00FD3396" w:rsidP="00FD3396">
            <w:pPr>
              <w:spacing w:after="0" w:line="240" w:lineRule="auto"/>
              <w:jc w:val="right"/>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9,8%</w:t>
            </w:r>
          </w:p>
        </w:tc>
        <w:tc>
          <w:tcPr>
            <w:tcW w:w="357" w:type="pct"/>
            <w:shd w:val="clear" w:color="auto" w:fill="auto"/>
            <w:noWrap/>
            <w:vAlign w:val="center"/>
            <w:hideMark/>
          </w:tcPr>
          <w:p w14:paraId="5E204872" w14:textId="77777777" w:rsidR="00FD3396" w:rsidRPr="00D61FA2" w:rsidRDefault="00FD3396" w:rsidP="00FD3396">
            <w:pPr>
              <w:spacing w:after="0" w:line="240" w:lineRule="auto"/>
              <w:jc w:val="right"/>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17,0%</w:t>
            </w:r>
          </w:p>
        </w:tc>
        <w:tc>
          <w:tcPr>
            <w:tcW w:w="357" w:type="pct"/>
            <w:shd w:val="clear" w:color="auto" w:fill="auto"/>
            <w:noWrap/>
            <w:vAlign w:val="center"/>
            <w:hideMark/>
          </w:tcPr>
          <w:p w14:paraId="1788130F" w14:textId="77777777" w:rsidR="00FD3396" w:rsidRPr="00D61FA2" w:rsidRDefault="00FD3396" w:rsidP="00FD3396">
            <w:pPr>
              <w:spacing w:after="0" w:line="240" w:lineRule="auto"/>
              <w:jc w:val="right"/>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32,6%</w:t>
            </w:r>
          </w:p>
        </w:tc>
        <w:tc>
          <w:tcPr>
            <w:tcW w:w="357" w:type="pct"/>
            <w:shd w:val="clear" w:color="auto" w:fill="auto"/>
            <w:noWrap/>
            <w:vAlign w:val="center"/>
            <w:hideMark/>
          </w:tcPr>
          <w:p w14:paraId="5A4FF187" w14:textId="77777777" w:rsidR="00FD3396" w:rsidRPr="00D61FA2" w:rsidRDefault="00FD3396" w:rsidP="00FD3396">
            <w:pPr>
              <w:spacing w:after="0" w:line="240" w:lineRule="auto"/>
              <w:jc w:val="right"/>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21,2%</w:t>
            </w:r>
          </w:p>
        </w:tc>
        <w:tc>
          <w:tcPr>
            <w:tcW w:w="337" w:type="pct"/>
            <w:shd w:val="clear" w:color="auto" w:fill="auto"/>
            <w:noWrap/>
            <w:vAlign w:val="center"/>
            <w:hideMark/>
          </w:tcPr>
          <w:p w14:paraId="47F1A208" w14:textId="77777777" w:rsidR="00FD3396" w:rsidRPr="00D61FA2" w:rsidRDefault="00FD3396" w:rsidP="00FD3396">
            <w:pPr>
              <w:spacing w:after="0" w:line="240" w:lineRule="auto"/>
              <w:jc w:val="right"/>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7,6%</w:t>
            </w:r>
          </w:p>
        </w:tc>
        <w:tc>
          <w:tcPr>
            <w:tcW w:w="376" w:type="pct"/>
            <w:shd w:val="clear" w:color="auto" w:fill="auto"/>
            <w:noWrap/>
            <w:vAlign w:val="center"/>
            <w:hideMark/>
          </w:tcPr>
          <w:p w14:paraId="1BE1EC84" w14:textId="77777777" w:rsidR="00FD3396" w:rsidRPr="00D61FA2" w:rsidRDefault="00FD3396" w:rsidP="00FD3396">
            <w:pPr>
              <w:spacing w:after="0" w:line="240" w:lineRule="auto"/>
              <w:jc w:val="right"/>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11,9%</w:t>
            </w:r>
          </w:p>
        </w:tc>
        <w:tc>
          <w:tcPr>
            <w:tcW w:w="357" w:type="pct"/>
            <w:shd w:val="clear" w:color="auto" w:fill="auto"/>
            <w:noWrap/>
            <w:vAlign w:val="center"/>
            <w:hideMark/>
          </w:tcPr>
          <w:p w14:paraId="453B551A" w14:textId="77777777" w:rsidR="00FD3396" w:rsidRPr="00D61FA2" w:rsidRDefault="00FD3396" w:rsidP="00FD3396">
            <w:pPr>
              <w:spacing w:after="0" w:line="240" w:lineRule="auto"/>
              <w:jc w:val="right"/>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61,4%</w:t>
            </w:r>
          </w:p>
        </w:tc>
      </w:tr>
      <w:tr w:rsidR="00FD3396" w:rsidRPr="00B47608" w14:paraId="26481F63" w14:textId="77777777" w:rsidTr="00A37431">
        <w:trPr>
          <w:trHeight w:val="288"/>
        </w:trPr>
        <w:tc>
          <w:tcPr>
            <w:tcW w:w="2503" w:type="pct"/>
            <w:shd w:val="clear" w:color="auto" w:fill="auto"/>
            <w:noWrap/>
            <w:vAlign w:val="center"/>
            <w:hideMark/>
          </w:tcPr>
          <w:p w14:paraId="7F3D14F1" w14:textId="77777777" w:rsidR="00FD3396" w:rsidRPr="00D61FA2" w:rsidRDefault="00FD3396" w:rsidP="00FD3396">
            <w:pPr>
              <w:spacing w:after="0" w:line="240" w:lineRule="auto"/>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Incoming di operatori esteri</w:t>
            </w:r>
          </w:p>
        </w:tc>
        <w:tc>
          <w:tcPr>
            <w:tcW w:w="357" w:type="pct"/>
            <w:shd w:val="clear" w:color="auto" w:fill="auto"/>
            <w:noWrap/>
            <w:vAlign w:val="center"/>
            <w:hideMark/>
          </w:tcPr>
          <w:p w14:paraId="6559510B" w14:textId="77777777" w:rsidR="00FD3396" w:rsidRPr="00D61FA2" w:rsidRDefault="00FD3396" w:rsidP="00FD3396">
            <w:pPr>
              <w:spacing w:after="0" w:line="240" w:lineRule="auto"/>
              <w:jc w:val="right"/>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7,5%</w:t>
            </w:r>
          </w:p>
        </w:tc>
        <w:tc>
          <w:tcPr>
            <w:tcW w:w="357" w:type="pct"/>
            <w:shd w:val="clear" w:color="auto" w:fill="auto"/>
            <w:noWrap/>
            <w:vAlign w:val="center"/>
            <w:hideMark/>
          </w:tcPr>
          <w:p w14:paraId="2E86F7A0" w14:textId="77777777" w:rsidR="00FD3396" w:rsidRPr="00D61FA2" w:rsidRDefault="00FD3396" w:rsidP="00FD3396">
            <w:pPr>
              <w:spacing w:after="0" w:line="240" w:lineRule="auto"/>
              <w:jc w:val="right"/>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21,1%</w:t>
            </w:r>
          </w:p>
        </w:tc>
        <w:tc>
          <w:tcPr>
            <w:tcW w:w="357" w:type="pct"/>
            <w:shd w:val="clear" w:color="auto" w:fill="auto"/>
            <w:noWrap/>
            <w:vAlign w:val="center"/>
            <w:hideMark/>
          </w:tcPr>
          <w:p w14:paraId="0AD68CCB" w14:textId="77777777" w:rsidR="00FD3396" w:rsidRPr="00D61FA2" w:rsidRDefault="00FD3396" w:rsidP="00FD3396">
            <w:pPr>
              <w:spacing w:after="0" w:line="240" w:lineRule="auto"/>
              <w:jc w:val="right"/>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30,9%</w:t>
            </w:r>
          </w:p>
        </w:tc>
        <w:tc>
          <w:tcPr>
            <w:tcW w:w="357" w:type="pct"/>
            <w:shd w:val="clear" w:color="auto" w:fill="auto"/>
            <w:noWrap/>
            <w:vAlign w:val="center"/>
            <w:hideMark/>
          </w:tcPr>
          <w:p w14:paraId="63E40F27" w14:textId="77777777" w:rsidR="00FD3396" w:rsidRPr="00D61FA2" w:rsidRDefault="00FD3396" w:rsidP="00FD3396">
            <w:pPr>
              <w:spacing w:after="0" w:line="240" w:lineRule="auto"/>
              <w:jc w:val="right"/>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21,1%</w:t>
            </w:r>
          </w:p>
        </w:tc>
        <w:tc>
          <w:tcPr>
            <w:tcW w:w="337" w:type="pct"/>
            <w:shd w:val="clear" w:color="auto" w:fill="auto"/>
            <w:noWrap/>
            <w:vAlign w:val="center"/>
            <w:hideMark/>
          </w:tcPr>
          <w:p w14:paraId="3F2628FB" w14:textId="77777777" w:rsidR="00FD3396" w:rsidRPr="00D61FA2" w:rsidRDefault="00FD3396" w:rsidP="00FD3396">
            <w:pPr>
              <w:spacing w:after="0" w:line="240" w:lineRule="auto"/>
              <w:jc w:val="right"/>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7,6%</w:t>
            </w:r>
          </w:p>
        </w:tc>
        <w:tc>
          <w:tcPr>
            <w:tcW w:w="376" w:type="pct"/>
            <w:shd w:val="clear" w:color="auto" w:fill="auto"/>
            <w:noWrap/>
            <w:vAlign w:val="center"/>
            <w:hideMark/>
          </w:tcPr>
          <w:p w14:paraId="35FEE88C" w14:textId="77777777" w:rsidR="00FD3396" w:rsidRPr="00D61FA2" w:rsidRDefault="00FD3396" w:rsidP="00FD3396">
            <w:pPr>
              <w:spacing w:after="0" w:line="240" w:lineRule="auto"/>
              <w:jc w:val="right"/>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11,8%</w:t>
            </w:r>
          </w:p>
        </w:tc>
        <w:tc>
          <w:tcPr>
            <w:tcW w:w="357" w:type="pct"/>
            <w:shd w:val="clear" w:color="auto" w:fill="auto"/>
            <w:noWrap/>
            <w:vAlign w:val="center"/>
            <w:hideMark/>
          </w:tcPr>
          <w:p w14:paraId="0F2C01A7" w14:textId="77777777" w:rsidR="00FD3396" w:rsidRPr="00D61FA2" w:rsidRDefault="00FD3396" w:rsidP="00FD3396">
            <w:pPr>
              <w:spacing w:after="0" w:line="240" w:lineRule="auto"/>
              <w:jc w:val="right"/>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59,6%</w:t>
            </w:r>
          </w:p>
        </w:tc>
      </w:tr>
      <w:tr w:rsidR="00FD3396" w:rsidRPr="00B47608" w14:paraId="2BEB65BE" w14:textId="77777777" w:rsidTr="00A37431">
        <w:trPr>
          <w:trHeight w:val="288"/>
        </w:trPr>
        <w:tc>
          <w:tcPr>
            <w:tcW w:w="2503" w:type="pct"/>
            <w:shd w:val="clear" w:color="auto" w:fill="auto"/>
            <w:noWrap/>
            <w:vAlign w:val="center"/>
            <w:hideMark/>
          </w:tcPr>
          <w:p w14:paraId="37E8E9E3" w14:textId="77777777" w:rsidR="00FD3396" w:rsidRPr="00D61FA2" w:rsidRDefault="00FD3396" w:rsidP="00FD3396">
            <w:pPr>
              <w:spacing w:after="0" w:line="240" w:lineRule="auto"/>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Consulenza su vendita e marketing digitale</w:t>
            </w:r>
          </w:p>
        </w:tc>
        <w:tc>
          <w:tcPr>
            <w:tcW w:w="357" w:type="pct"/>
            <w:shd w:val="clear" w:color="auto" w:fill="auto"/>
            <w:noWrap/>
            <w:vAlign w:val="center"/>
            <w:hideMark/>
          </w:tcPr>
          <w:p w14:paraId="7D6189E5" w14:textId="77777777" w:rsidR="00FD3396" w:rsidRPr="00D61FA2" w:rsidRDefault="00FD3396" w:rsidP="00FD3396">
            <w:pPr>
              <w:spacing w:after="0" w:line="240" w:lineRule="auto"/>
              <w:jc w:val="right"/>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13,0%</w:t>
            </w:r>
          </w:p>
        </w:tc>
        <w:tc>
          <w:tcPr>
            <w:tcW w:w="357" w:type="pct"/>
            <w:shd w:val="clear" w:color="auto" w:fill="auto"/>
            <w:noWrap/>
            <w:vAlign w:val="center"/>
            <w:hideMark/>
          </w:tcPr>
          <w:p w14:paraId="21F40DA1" w14:textId="77777777" w:rsidR="00FD3396" w:rsidRPr="00D61FA2" w:rsidRDefault="00FD3396" w:rsidP="00FD3396">
            <w:pPr>
              <w:spacing w:after="0" w:line="240" w:lineRule="auto"/>
              <w:jc w:val="right"/>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22,3%</w:t>
            </w:r>
          </w:p>
        </w:tc>
        <w:tc>
          <w:tcPr>
            <w:tcW w:w="357" w:type="pct"/>
            <w:shd w:val="clear" w:color="auto" w:fill="auto"/>
            <w:noWrap/>
            <w:vAlign w:val="center"/>
            <w:hideMark/>
          </w:tcPr>
          <w:p w14:paraId="2ABBA1A5" w14:textId="77777777" w:rsidR="00FD3396" w:rsidRPr="00D61FA2" w:rsidRDefault="00FD3396" w:rsidP="00FD3396">
            <w:pPr>
              <w:spacing w:after="0" w:line="240" w:lineRule="auto"/>
              <w:jc w:val="right"/>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32,8%</w:t>
            </w:r>
          </w:p>
        </w:tc>
        <w:tc>
          <w:tcPr>
            <w:tcW w:w="357" w:type="pct"/>
            <w:shd w:val="clear" w:color="auto" w:fill="auto"/>
            <w:noWrap/>
            <w:vAlign w:val="center"/>
            <w:hideMark/>
          </w:tcPr>
          <w:p w14:paraId="7B350DB5" w14:textId="77777777" w:rsidR="00FD3396" w:rsidRPr="00D61FA2" w:rsidRDefault="00FD3396" w:rsidP="00FD3396">
            <w:pPr>
              <w:spacing w:after="0" w:line="240" w:lineRule="auto"/>
              <w:jc w:val="right"/>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15,1%</w:t>
            </w:r>
          </w:p>
        </w:tc>
        <w:tc>
          <w:tcPr>
            <w:tcW w:w="337" w:type="pct"/>
            <w:shd w:val="clear" w:color="auto" w:fill="auto"/>
            <w:noWrap/>
            <w:vAlign w:val="center"/>
            <w:hideMark/>
          </w:tcPr>
          <w:p w14:paraId="3D5BBFA2" w14:textId="77777777" w:rsidR="00FD3396" w:rsidRPr="00D61FA2" w:rsidRDefault="00FD3396" w:rsidP="00FD3396">
            <w:pPr>
              <w:spacing w:after="0" w:line="240" w:lineRule="auto"/>
              <w:jc w:val="right"/>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6,0%</w:t>
            </w:r>
          </w:p>
        </w:tc>
        <w:tc>
          <w:tcPr>
            <w:tcW w:w="376" w:type="pct"/>
            <w:shd w:val="clear" w:color="auto" w:fill="auto"/>
            <w:noWrap/>
            <w:vAlign w:val="center"/>
            <w:hideMark/>
          </w:tcPr>
          <w:p w14:paraId="03D36C78" w14:textId="77777777" w:rsidR="00FD3396" w:rsidRPr="00D61FA2" w:rsidRDefault="00FD3396" w:rsidP="00FD3396">
            <w:pPr>
              <w:spacing w:after="0" w:line="240" w:lineRule="auto"/>
              <w:jc w:val="right"/>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10,8%</w:t>
            </w:r>
          </w:p>
        </w:tc>
        <w:tc>
          <w:tcPr>
            <w:tcW w:w="357" w:type="pct"/>
            <w:shd w:val="clear" w:color="auto" w:fill="auto"/>
            <w:noWrap/>
            <w:vAlign w:val="center"/>
            <w:hideMark/>
          </w:tcPr>
          <w:p w14:paraId="60F4D710" w14:textId="77777777" w:rsidR="00FD3396" w:rsidRPr="00D61FA2" w:rsidRDefault="00FD3396" w:rsidP="00FD3396">
            <w:pPr>
              <w:spacing w:after="0" w:line="240" w:lineRule="auto"/>
              <w:jc w:val="right"/>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54,0%</w:t>
            </w:r>
          </w:p>
        </w:tc>
      </w:tr>
      <w:tr w:rsidR="00FD3396" w:rsidRPr="00B47608" w14:paraId="6F7CD322" w14:textId="77777777" w:rsidTr="00A37431">
        <w:trPr>
          <w:trHeight w:val="288"/>
        </w:trPr>
        <w:tc>
          <w:tcPr>
            <w:tcW w:w="2503" w:type="pct"/>
            <w:shd w:val="clear" w:color="auto" w:fill="auto"/>
            <w:noWrap/>
            <w:vAlign w:val="center"/>
            <w:hideMark/>
          </w:tcPr>
          <w:p w14:paraId="00AAF734" w14:textId="77777777" w:rsidR="00FD3396" w:rsidRPr="00D61FA2" w:rsidRDefault="00FD3396" w:rsidP="00FD3396">
            <w:pPr>
              <w:spacing w:after="0" w:line="240" w:lineRule="auto"/>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Webinar e convegni su temi legati al digitale e IA per l’export</w:t>
            </w:r>
          </w:p>
        </w:tc>
        <w:tc>
          <w:tcPr>
            <w:tcW w:w="357" w:type="pct"/>
            <w:shd w:val="clear" w:color="auto" w:fill="auto"/>
            <w:noWrap/>
            <w:vAlign w:val="center"/>
            <w:hideMark/>
          </w:tcPr>
          <w:p w14:paraId="39DA3CD0" w14:textId="77777777" w:rsidR="00FD3396" w:rsidRPr="00D61FA2" w:rsidRDefault="00FD3396" w:rsidP="00FD3396">
            <w:pPr>
              <w:spacing w:after="0" w:line="240" w:lineRule="auto"/>
              <w:jc w:val="right"/>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14,7%</w:t>
            </w:r>
          </w:p>
        </w:tc>
        <w:tc>
          <w:tcPr>
            <w:tcW w:w="357" w:type="pct"/>
            <w:shd w:val="clear" w:color="auto" w:fill="auto"/>
            <w:noWrap/>
            <w:vAlign w:val="center"/>
            <w:hideMark/>
          </w:tcPr>
          <w:p w14:paraId="045BD6E0" w14:textId="77777777" w:rsidR="00FD3396" w:rsidRPr="00D61FA2" w:rsidRDefault="00FD3396" w:rsidP="00FD3396">
            <w:pPr>
              <w:spacing w:after="0" w:line="240" w:lineRule="auto"/>
              <w:jc w:val="right"/>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26,2%</w:t>
            </w:r>
          </w:p>
        </w:tc>
        <w:tc>
          <w:tcPr>
            <w:tcW w:w="357" w:type="pct"/>
            <w:shd w:val="clear" w:color="auto" w:fill="auto"/>
            <w:noWrap/>
            <w:vAlign w:val="center"/>
            <w:hideMark/>
          </w:tcPr>
          <w:p w14:paraId="524F101D" w14:textId="77777777" w:rsidR="00FD3396" w:rsidRPr="00D61FA2" w:rsidRDefault="00FD3396" w:rsidP="00FD3396">
            <w:pPr>
              <w:spacing w:after="0" w:line="240" w:lineRule="auto"/>
              <w:jc w:val="right"/>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31,1%</w:t>
            </w:r>
          </w:p>
        </w:tc>
        <w:tc>
          <w:tcPr>
            <w:tcW w:w="357" w:type="pct"/>
            <w:shd w:val="clear" w:color="auto" w:fill="auto"/>
            <w:noWrap/>
            <w:vAlign w:val="center"/>
            <w:hideMark/>
          </w:tcPr>
          <w:p w14:paraId="3E29FFFA" w14:textId="77777777" w:rsidR="00FD3396" w:rsidRPr="00D61FA2" w:rsidRDefault="00FD3396" w:rsidP="00FD3396">
            <w:pPr>
              <w:spacing w:after="0" w:line="240" w:lineRule="auto"/>
              <w:jc w:val="right"/>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9,9%</w:t>
            </w:r>
          </w:p>
        </w:tc>
        <w:tc>
          <w:tcPr>
            <w:tcW w:w="337" w:type="pct"/>
            <w:shd w:val="clear" w:color="auto" w:fill="auto"/>
            <w:noWrap/>
            <w:vAlign w:val="center"/>
            <w:hideMark/>
          </w:tcPr>
          <w:p w14:paraId="6C4DF2AF" w14:textId="77777777" w:rsidR="00FD3396" w:rsidRPr="00D61FA2" w:rsidRDefault="00FD3396" w:rsidP="00FD3396">
            <w:pPr>
              <w:spacing w:after="0" w:line="240" w:lineRule="auto"/>
              <w:jc w:val="right"/>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5,9%</w:t>
            </w:r>
          </w:p>
        </w:tc>
        <w:tc>
          <w:tcPr>
            <w:tcW w:w="376" w:type="pct"/>
            <w:shd w:val="clear" w:color="auto" w:fill="auto"/>
            <w:noWrap/>
            <w:vAlign w:val="center"/>
            <w:hideMark/>
          </w:tcPr>
          <w:p w14:paraId="05640DC0" w14:textId="77777777" w:rsidR="00FD3396" w:rsidRPr="00D61FA2" w:rsidRDefault="00FD3396" w:rsidP="00FD3396">
            <w:pPr>
              <w:spacing w:after="0" w:line="240" w:lineRule="auto"/>
              <w:jc w:val="right"/>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12,3%</w:t>
            </w:r>
          </w:p>
        </w:tc>
        <w:tc>
          <w:tcPr>
            <w:tcW w:w="357" w:type="pct"/>
            <w:shd w:val="clear" w:color="auto" w:fill="auto"/>
            <w:noWrap/>
            <w:vAlign w:val="center"/>
            <w:hideMark/>
          </w:tcPr>
          <w:p w14:paraId="6A70410F" w14:textId="77777777" w:rsidR="00FD3396" w:rsidRPr="00D61FA2" w:rsidRDefault="00FD3396" w:rsidP="00FD3396">
            <w:pPr>
              <w:spacing w:after="0" w:line="240" w:lineRule="auto"/>
              <w:jc w:val="right"/>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46,9%</w:t>
            </w:r>
          </w:p>
        </w:tc>
      </w:tr>
      <w:tr w:rsidR="00FD3396" w:rsidRPr="00B47608" w14:paraId="698B76C3" w14:textId="77777777" w:rsidTr="00A37431">
        <w:trPr>
          <w:trHeight w:val="288"/>
        </w:trPr>
        <w:tc>
          <w:tcPr>
            <w:tcW w:w="2503" w:type="pct"/>
            <w:shd w:val="clear" w:color="auto" w:fill="auto"/>
            <w:noWrap/>
            <w:vAlign w:val="center"/>
            <w:hideMark/>
          </w:tcPr>
          <w:p w14:paraId="22BCB4C4" w14:textId="77777777" w:rsidR="00FD3396" w:rsidRPr="00D61FA2" w:rsidRDefault="00FD3396" w:rsidP="00FD3396">
            <w:pPr>
              <w:spacing w:after="0" w:line="240" w:lineRule="auto"/>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Ricerca individuale di clienti e fornitori tramite Temporary Export Manager (TEM) o società di consulenza nei paesi esteri</w:t>
            </w:r>
          </w:p>
        </w:tc>
        <w:tc>
          <w:tcPr>
            <w:tcW w:w="357" w:type="pct"/>
            <w:shd w:val="clear" w:color="auto" w:fill="auto"/>
            <w:noWrap/>
            <w:vAlign w:val="center"/>
            <w:hideMark/>
          </w:tcPr>
          <w:p w14:paraId="3C6F8EF5" w14:textId="77777777" w:rsidR="00FD3396" w:rsidRPr="00D61FA2" w:rsidRDefault="00FD3396" w:rsidP="00FD3396">
            <w:pPr>
              <w:spacing w:after="0" w:line="240" w:lineRule="auto"/>
              <w:jc w:val="right"/>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14,1%</w:t>
            </w:r>
          </w:p>
        </w:tc>
        <w:tc>
          <w:tcPr>
            <w:tcW w:w="357" w:type="pct"/>
            <w:shd w:val="clear" w:color="auto" w:fill="auto"/>
            <w:noWrap/>
            <w:vAlign w:val="center"/>
            <w:hideMark/>
          </w:tcPr>
          <w:p w14:paraId="1ECC18FC" w14:textId="77777777" w:rsidR="00FD3396" w:rsidRPr="00D61FA2" w:rsidRDefault="00FD3396" w:rsidP="00FD3396">
            <w:pPr>
              <w:spacing w:after="0" w:line="240" w:lineRule="auto"/>
              <w:jc w:val="right"/>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27,1%</w:t>
            </w:r>
          </w:p>
        </w:tc>
        <w:tc>
          <w:tcPr>
            <w:tcW w:w="357" w:type="pct"/>
            <w:shd w:val="clear" w:color="auto" w:fill="auto"/>
            <w:noWrap/>
            <w:vAlign w:val="center"/>
            <w:hideMark/>
          </w:tcPr>
          <w:p w14:paraId="16E73612" w14:textId="77777777" w:rsidR="00FD3396" w:rsidRPr="00D61FA2" w:rsidRDefault="00FD3396" w:rsidP="00FD3396">
            <w:pPr>
              <w:spacing w:after="0" w:line="240" w:lineRule="auto"/>
              <w:jc w:val="right"/>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30,4%</w:t>
            </w:r>
          </w:p>
        </w:tc>
        <w:tc>
          <w:tcPr>
            <w:tcW w:w="357" w:type="pct"/>
            <w:shd w:val="clear" w:color="auto" w:fill="auto"/>
            <w:noWrap/>
            <w:vAlign w:val="center"/>
            <w:hideMark/>
          </w:tcPr>
          <w:p w14:paraId="3F11FEB2" w14:textId="77777777" w:rsidR="00FD3396" w:rsidRPr="00D61FA2" w:rsidRDefault="00FD3396" w:rsidP="00FD3396">
            <w:pPr>
              <w:spacing w:after="0" w:line="240" w:lineRule="auto"/>
              <w:jc w:val="right"/>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11,8%</w:t>
            </w:r>
          </w:p>
        </w:tc>
        <w:tc>
          <w:tcPr>
            <w:tcW w:w="337" w:type="pct"/>
            <w:shd w:val="clear" w:color="auto" w:fill="auto"/>
            <w:noWrap/>
            <w:vAlign w:val="center"/>
            <w:hideMark/>
          </w:tcPr>
          <w:p w14:paraId="3064C84F" w14:textId="77777777" w:rsidR="00FD3396" w:rsidRPr="00D61FA2" w:rsidRDefault="00FD3396" w:rsidP="00FD3396">
            <w:pPr>
              <w:spacing w:after="0" w:line="240" w:lineRule="auto"/>
              <w:jc w:val="right"/>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4,0%</w:t>
            </w:r>
          </w:p>
        </w:tc>
        <w:tc>
          <w:tcPr>
            <w:tcW w:w="376" w:type="pct"/>
            <w:shd w:val="clear" w:color="auto" w:fill="auto"/>
            <w:noWrap/>
            <w:vAlign w:val="center"/>
            <w:hideMark/>
          </w:tcPr>
          <w:p w14:paraId="256549C8" w14:textId="77777777" w:rsidR="00FD3396" w:rsidRPr="00D61FA2" w:rsidRDefault="00FD3396" w:rsidP="00FD3396">
            <w:pPr>
              <w:spacing w:after="0" w:line="240" w:lineRule="auto"/>
              <w:jc w:val="right"/>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12,6%</w:t>
            </w:r>
          </w:p>
        </w:tc>
        <w:tc>
          <w:tcPr>
            <w:tcW w:w="357" w:type="pct"/>
            <w:shd w:val="clear" w:color="auto" w:fill="auto"/>
            <w:noWrap/>
            <w:vAlign w:val="center"/>
            <w:hideMark/>
          </w:tcPr>
          <w:p w14:paraId="39CC3148" w14:textId="77777777" w:rsidR="00FD3396" w:rsidRPr="00D61FA2" w:rsidRDefault="00FD3396" w:rsidP="00FD3396">
            <w:pPr>
              <w:spacing w:after="0" w:line="240" w:lineRule="auto"/>
              <w:jc w:val="right"/>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46,2%</w:t>
            </w:r>
          </w:p>
        </w:tc>
      </w:tr>
      <w:tr w:rsidR="00FD3396" w:rsidRPr="00B47608" w14:paraId="2FE9BA13" w14:textId="77777777" w:rsidTr="00A37431">
        <w:trPr>
          <w:trHeight w:val="288"/>
        </w:trPr>
        <w:tc>
          <w:tcPr>
            <w:tcW w:w="2503" w:type="pct"/>
            <w:shd w:val="clear" w:color="auto" w:fill="auto"/>
            <w:noWrap/>
            <w:vAlign w:val="center"/>
            <w:hideMark/>
          </w:tcPr>
          <w:p w14:paraId="26580E5A" w14:textId="77777777" w:rsidR="00FD3396" w:rsidRPr="00D61FA2" w:rsidRDefault="00FD3396" w:rsidP="00FD3396">
            <w:pPr>
              <w:spacing w:after="0" w:line="240" w:lineRule="auto"/>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Webinar e convegni su temi legati all’internazionalizzazione e all’export</w:t>
            </w:r>
          </w:p>
        </w:tc>
        <w:tc>
          <w:tcPr>
            <w:tcW w:w="357" w:type="pct"/>
            <w:shd w:val="clear" w:color="auto" w:fill="auto"/>
            <w:noWrap/>
            <w:vAlign w:val="center"/>
            <w:hideMark/>
          </w:tcPr>
          <w:p w14:paraId="1B2B61AC" w14:textId="77777777" w:rsidR="00FD3396" w:rsidRPr="00D61FA2" w:rsidRDefault="00FD3396" w:rsidP="00FD3396">
            <w:pPr>
              <w:spacing w:after="0" w:line="240" w:lineRule="auto"/>
              <w:jc w:val="right"/>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12,9%</w:t>
            </w:r>
          </w:p>
        </w:tc>
        <w:tc>
          <w:tcPr>
            <w:tcW w:w="357" w:type="pct"/>
            <w:shd w:val="clear" w:color="auto" w:fill="auto"/>
            <w:noWrap/>
            <w:vAlign w:val="center"/>
            <w:hideMark/>
          </w:tcPr>
          <w:p w14:paraId="6A4EC831" w14:textId="77777777" w:rsidR="00FD3396" w:rsidRPr="00D61FA2" w:rsidRDefault="00FD3396" w:rsidP="00FD3396">
            <w:pPr>
              <w:spacing w:after="0" w:line="240" w:lineRule="auto"/>
              <w:jc w:val="right"/>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30,1%</w:t>
            </w:r>
          </w:p>
        </w:tc>
        <w:tc>
          <w:tcPr>
            <w:tcW w:w="357" w:type="pct"/>
            <w:shd w:val="clear" w:color="auto" w:fill="auto"/>
            <w:noWrap/>
            <w:vAlign w:val="center"/>
            <w:hideMark/>
          </w:tcPr>
          <w:p w14:paraId="6B62EF4B" w14:textId="77777777" w:rsidR="00FD3396" w:rsidRPr="00D61FA2" w:rsidRDefault="00FD3396" w:rsidP="00FD3396">
            <w:pPr>
              <w:spacing w:after="0" w:line="240" w:lineRule="auto"/>
              <w:jc w:val="right"/>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26,8%</w:t>
            </w:r>
          </w:p>
        </w:tc>
        <w:tc>
          <w:tcPr>
            <w:tcW w:w="357" w:type="pct"/>
            <w:shd w:val="clear" w:color="auto" w:fill="auto"/>
            <w:noWrap/>
            <w:vAlign w:val="center"/>
            <w:hideMark/>
          </w:tcPr>
          <w:p w14:paraId="4D82F4E0" w14:textId="77777777" w:rsidR="00FD3396" w:rsidRPr="00D61FA2" w:rsidRDefault="00FD3396" w:rsidP="00FD3396">
            <w:pPr>
              <w:spacing w:after="0" w:line="240" w:lineRule="auto"/>
              <w:jc w:val="right"/>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12,4%</w:t>
            </w:r>
          </w:p>
        </w:tc>
        <w:tc>
          <w:tcPr>
            <w:tcW w:w="337" w:type="pct"/>
            <w:shd w:val="clear" w:color="auto" w:fill="auto"/>
            <w:noWrap/>
            <w:vAlign w:val="center"/>
            <w:hideMark/>
          </w:tcPr>
          <w:p w14:paraId="33F90D1E" w14:textId="77777777" w:rsidR="00FD3396" w:rsidRPr="00D61FA2" w:rsidRDefault="00FD3396" w:rsidP="00FD3396">
            <w:pPr>
              <w:spacing w:after="0" w:line="240" w:lineRule="auto"/>
              <w:jc w:val="right"/>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4,8%</w:t>
            </w:r>
          </w:p>
        </w:tc>
        <w:tc>
          <w:tcPr>
            <w:tcW w:w="376" w:type="pct"/>
            <w:shd w:val="clear" w:color="auto" w:fill="auto"/>
            <w:noWrap/>
            <w:vAlign w:val="center"/>
            <w:hideMark/>
          </w:tcPr>
          <w:p w14:paraId="74790645" w14:textId="77777777" w:rsidR="00FD3396" w:rsidRPr="00D61FA2" w:rsidRDefault="00FD3396" w:rsidP="00FD3396">
            <w:pPr>
              <w:spacing w:after="0" w:line="240" w:lineRule="auto"/>
              <w:jc w:val="right"/>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13,0%</w:t>
            </w:r>
          </w:p>
        </w:tc>
        <w:tc>
          <w:tcPr>
            <w:tcW w:w="357" w:type="pct"/>
            <w:shd w:val="clear" w:color="auto" w:fill="auto"/>
            <w:noWrap/>
            <w:vAlign w:val="center"/>
            <w:hideMark/>
          </w:tcPr>
          <w:p w14:paraId="61F2851E" w14:textId="77777777" w:rsidR="00FD3396" w:rsidRPr="00D61FA2" w:rsidRDefault="00FD3396" w:rsidP="00FD3396">
            <w:pPr>
              <w:spacing w:after="0" w:line="240" w:lineRule="auto"/>
              <w:jc w:val="right"/>
              <w:rPr>
                <w:rFonts w:eastAsia="Times New Roman" w:cs="Calibri"/>
                <w:color w:val="000000"/>
                <w:kern w:val="0"/>
                <w:sz w:val="18"/>
                <w:szCs w:val="18"/>
                <w:lang w:eastAsia="it-IT"/>
                <w14:ligatures w14:val="none"/>
              </w:rPr>
            </w:pPr>
            <w:r w:rsidRPr="00D61FA2">
              <w:rPr>
                <w:rFonts w:eastAsia="Times New Roman" w:cs="Calibri"/>
                <w:color w:val="000000"/>
                <w:kern w:val="0"/>
                <w:sz w:val="18"/>
                <w:szCs w:val="18"/>
                <w:lang w:eastAsia="it-IT"/>
                <w14:ligatures w14:val="none"/>
              </w:rPr>
              <w:t>44,0%</w:t>
            </w:r>
          </w:p>
        </w:tc>
      </w:tr>
    </w:tbl>
    <w:p w14:paraId="5630D033" w14:textId="77777777" w:rsidR="00690568" w:rsidRPr="00B47608" w:rsidRDefault="00690568" w:rsidP="00690568">
      <w:pPr>
        <w:spacing w:after="0"/>
      </w:pPr>
      <w:r w:rsidRPr="00B47608">
        <w:t>Fonte: Fondazione Nord Est (463 casi)</w:t>
      </w:r>
    </w:p>
    <w:p w14:paraId="08E1E337" w14:textId="77777777" w:rsidR="00690568" w:rsidRPr="00B47608" w:rsidRDefault="00690568" w:rsidP="00ED2A57">
      <w:pPr>
        <w:spacing w:after="0"/>
      </w:pPr>
    </w:p>
    <w:p w14:paraId="2686984B" w14:textId="77777777" w:rsidR="00690568" w:rsidRPr="00B47608" w:rsidRDefault="00690568" w:rsidP="00ED2A57">
      <w:pPr>
        <w:spacing w:after="0"/>
      </w:pPr>
    </w:p>
    <w:p w14:paraId="2A97CA20" w14:textId="77777777" w:rsidR="00B94C3F" w:rsidRPr="00B47608" w:rsidRDefault="00B94C3F" w:rsidP="00ED2A57">
      <w:pPr>
        <w:spacing w:after="0"/>
      </w:pPr>
    </w:p>
    <w:p w14:paraId="446CBCDF" w14:textId="24B7C6C6" w:rsidR="001C78AE" w:rsidRPr="00B47608" w:rsidRDefault="001C78AE" w:rsidP="00ED2A57">
      <w:pPr>
        <w:spacing w:after="0"/>
        <w:rPr>
          <w:rFonts w:eastAsiaTheme="majorEastAsia" w:cstheme="majorBidi"/>
          <w:color w:val="0F4761" w:themeColor="accent1" w:themeShade="BF"/>
          <w:sz w:val="32"/>
          <w:szCs w:val="32"/>
        </w:rPr>
      </w:pPr>
      <w:r w:rsidRPr="00B47608">
        <w:br w:type="page"/>
      </w:r>
    </w:p>
    <w:p w14:paraId="2BB194E5" w14:textId="5A77E3D8" w:rsidR="001C78AE" w:rsidRPr="00B47608" w:rsidRDefault="001C78AE" w:rsidP="00ED2A57">
      <w:pPr>
        <w:pStyle w:val="Titolo2"/>
        <w:spacing w:after="0"/>
        <w:rPr>
          <w:rFonts w:asciiTheme="minorHAnsi" w:hAnsiTheme="minorHAnsi"/>
        </w:rPr>
      </w:pPr>
      <w:bookmarkStart w:id="25" w:name="_Toc193106864"/>
      <w:r w:rsidRPr="00B47608">
        <w:rPr>
          <w:rFonts w:asciiTheme="minorHAnsi" w:hAnsiTheme="minorHAnsi"/>
        </w:rPr>
        <w:lastRenderedPageBreak/>
        <w:t>Nota metodologica</w:t>
      </w:r>
      <w:bookmarkEnd w:id="25"/>
    </w:p>
    <w:p w14:paraId="08656DA4" w14:textId="77777777" w:rsidR="002B48E8" w:rsidRPr="00B47608" w:rsidRDefault="002B48E8" w:rsidP="00ED2A57">
      <w:pPr>
        <w:spacing w:after="0"/>
      </w:pPr>
    </w:p>
    <w:p w14:paraId="4014CD02" w14:textId="77777777" w:rsidR="002C4E8C" w:rsidRPr="00B47608" w:rsidRDefault="002C4E8C" w:rsidP="00ED2A57">
      <w:pPr>
        <w:spacing w:after="0"/>
        <w:jc w:val="both"/>
      </w:pPr>
    </w:p>
    <w:p w14:paraId="60B07CFB" w14:textId="48100F61" w:rsidR="001C78AE" w:rsidRPr="00B47608" w:rsidRDefault="007A70DF" w:rsidP="00ED2A57">
      <w:pPr>
        <w:spacing w:after="0"/>
        <w:jc w:val="both"/>
      </w:pPr>
      <w:r w:rsidRPr="00B47608">
        <w:t xml:space="preserve">Al sondaggio hanno risposto </w:t>
      </w:r>
      <w:r w:rsidR="0031647D" w:rsidRPr="00B47608">
        <w:t>639</w:t>
      </w:r>
      <w:r w:rsidRPr="00B47608">
        <w:t xml:space="preserve"> imprese</w:t>
      </w:r>
      <w:r w:rsidR="0031647D" w:rsidRPr="00B47608">
        <w:t xml:space="preserve">. Di queste 150 </w:t>
      </w:r>
      <w:r w:rsidR="00855F6B" w:rsidRPr="00B47608">
        <w:t>sono risultate non internazionalizzate</w:t>
      </w:r>
      <w:r w:rsidR="0091691A" w:rsidRPr="00B47608">
        <w:t xml:space="preserve"> in quanto hanno risposto di avere una quota di export sul fatturato totale pari a 0 e d</w:t>
      </w:r>
      <w:r w:rsidR="000B575F" w:rsidRPr="00B47608">
        <w:t>i non intrattenere alcun tipo di rapporto sui mercati esteri (domanda 2.1</w:t>
      </w:r>
      <w:r w:rsidR="00543F93" w:rsidRPr="00B47608">
        <w:t xml:space="preserve"> del questionario</w:t>
      </w:r>
      <w:r w:rsidR="000B575F" w:rsidRPr="00B47608">
        <w:t xml:space="preserve">). </w:t>
      </w:r>
      <w:r w:rsidR="00EC046E" w:rsidRPr="00B47608">
        <w:t>Nella fase</w:t>
      </w:r>
      <w:r w:rsidR="008B1EE5" w:rsidRPr="00B47608">
        <w:t xml:space="preserve"> di elaborazione dei dati sono state considerate le risposte delle 489 imprese internazionalizzate. </w:t>
      </w:r>
    </w:p>
    <w:p w14:paraId="024F42F0" w14:textId="77777777" w:rsidR="002C4E8C" w:rsidRPr="00B47608" w:rsidRDefault="002C4E8C" w:rsidP="00ED2A57">
      <w:pPr>
        <w:spacing w:after="0"/>
        <w:jc w:val="both"/>
      </w:pPr>
    </w:p>
    <w:p w14:paraId="02B851EF" w14:textId="47B23229" w:rsidR="00095F8B" w:rsidRPr="00B47608" w:rsidRDefault="002B48E8" w:rsidP="00ED2A57">
      <w:pPr>
        <w:spacing w:after="0"/>
        <w:jc w:val="both"/>
        <w:rPr>
          <w:b/>
          <w:bCs/>
        </w:rPr>
      </w:pPr>
      <w:r w:rsidRPr="00B47608">
        <w:rPr>
          <w:b/>
          <w:bCs/>
        </w:rPr>
        <w:t xml:space="preserve">NM 1 – Imprese rispondenti </w:t>
      </w:r>
      <w:r w:rsidR="002C4E8C" w:rsidRPr="00B47608">
        <w:rPr>
          <w:b/>
          <w:bCs/>
        </w:rPr>
        <w:t xml:space="preserve">internazionalizzate </w:t>
      </w:r>
      <w:r w:rsidRPr="00B47608">
        <w:rPr>
          <w:b/>
          <w:bCs/>
        </w:rPr>
        <w:t>per settore e classe dimensionale (addetti)</w:t>
      </w:r>
      <w:r w:rsidR="002C4E8C" w:rsidRPr="00B47608">
        <w:rPr>
          <w:b/>
          <w:bCs/>
        </w:rPr>
        <w:t>*</w:t>
      </w:r>
      <w:r w:rsidRPr="00B47608">
        <w:rPr>
          <w:b/>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90"/>
        <w:gridCol w:w="1978"/>
        <w:gridCol w:w="1980"/>
        <w:gridCol w:w="1980"/>
      </w:tblGrid>
      <w:tr w:rsidR="00095F8B" w:rsidRPr="00B47608" w14:paraId="05DB7ACB" w14:textId="77777777" w:rsidTr="00680DED">
        <w:trPr>
          <w:trHeight w:val="288"/>
        </w:trPr>
        <w:tc>
          <w:tcPr>
            <w:tcW w:w="1916" w:type="pct"/>
            <w:shd w:val="clear" w:color="auto" w:fill="auto"/>
            <w:noWrap/>
            <w:vAlign w:val="bottom"/>
            <w:hideMark/>
          </w:tcPr>
          <w:p w14:paraId="331BC4AC" w14:textId="38D667EC" w:rsidR="00095F8B" w:rsidRPr="00B47608" w:rsidRDefault="00095F8B" w:rsidP="00ED2A57">
            <w:pPr>
              <w:spacing w:after="0" w:line="240" w:lineRule="auto"/>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Settore</w:t>
            </w:r>
          </w:p>
        </w:tc>
        <w:tc>
          <w:tcPr>
            <w:tcW w:w="1027" w:type="pct"/>
            <w:shd w:val="clear" w:color="auto" w:fill="auto"/>
            <w:noWrap/>
            <w:vAlign w:val="bottom"/>
            <w:hideMark/>
          </w:tcPr>
          <w:p w14:paraId="4B54C32A" w14:textId="680489A2" w:rsidR="00095F8B" w:rsidRPr="00B47608" w:rsidRDefault="00095F8B"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Meno di 50</w:t>
            </w:r>
          </w:p>
        </w:tc>
        <w:tc>
          <w:tcPr>
            <w:tcW w:w="1028" w:type="pct"/>
            <w:shd w:val="clear" w:color="auto" w:fill="auto"/>
            <w:noWrap/>
            <w:vAlign w:val="bottom"/>
            <w:hideMark/>
          </w:tcPr>
          <w:p w14:paraId="0DD00371" w14:textId="36F01F46" w:rsidR="00095F8B" w:rsidRPr="00B47608" w:rsidRDefault="00095F8B"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50 e più</w:t>
            </w:r>
          </w:p>
        </w:tc>
        <w:tc>
          <w:tcPr>
            <w:tcW w:w="1028" w:type="pct"/>
            <w:shd w:val="clear" w:color="auto" w:fill="auto"/>
            <w:noWrap/>
            <w:vAlign w:val="bottom"/>
            <w:hideMark/>
          </w:tcPr>
          <w:p w14:paraId="0020D016" w14:textId="705923E0" w:rsidR="00095F8B" w:rsidRPr="00B47608" w:rsidRDefault="00095F8B"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Totale</w:t>
            </w:r>
          </w:p>
        </w:tc>
      </w:tr>
      <w:tr w:rsidR="00095F8B" w:rsidRPr="00B47608" w14:paraId="65286B24" w14:textId="77777777" w:rsidTr="00680DED">
        <w:trPr>
          <w:trHeight w:val="288"/>
        </w:trPr>
        <w:tc>
          <w:tcPr>
            <w:tcW w:w="1916" w:type="pct"/>
            <w:shd w:val="clear" w:color="auto" w:fill="auto"/>
            <w:noWrap/>
            <w:vAlign w:val="bottom"/>
            <w:hideMark/>
          </w:tcPr>
          <w:p w14:paraId="500263F6" w14:textId="77777777" w:rsidR="00095F8B" w:rsidRPr="00B47608" w:rsidRDefault="00095F8B"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Alimentari e bevande</w:t>
            </w:r>
          </w:p>
        </w:tc>
        <w:tc>
          <w:tcPr>
            <w:tcW w:w="1027" w:type="pct"/>
            <w:shd w:val="clear" w:color="auto" w:fill="auto"/>
            <w:noWrap/>
            <w:vAlign w:val="bottom"/>
            <w:hideMark/>
          </w:tcPr>
          <w:p w14:paraId="06C1AEA5" w14:textId="77777777" w:rsidR="00095F8B" w:rsidRPr="00B47608" w:rsidRDefault="00095F8B"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25</w:t>
            </w:r>
          </w:p>
        </w:tc>
        <w:tc>
          <w:tcPr>
            <w:tcW w:w="1028" w:type="pct"/>
            <w:shd w:val="clear" w:color="auto" w:fill="auto"/>
            <w:noWrap/>
            <w:vAlign w:val="bottom"/>
            <w:hideMark/>
          </w:tcPr>
          <w:p w14:paraId="4F55AE35" w14:textId="77777777" w:rsidR="00095F8B" w:rsidRPr="00B47608" w:rsidRDefault="00095F8B"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16</w:t>
            </w:r>
          </w:p>
        </w:tc>
        <w:tc>
          <w:tcPr>
            <w:tcW w:w="1028" w:type="pct"/>
            <w:shd w:val="clear" w:color="auto" w:fill="auto"/>
            <w:noWrap/>
            <w:vAlign w:val="bottom"/>
            <w:hideMark/>
          </w:tcPr>
          <w:p w14:paraId="2508FEEC" w14:textId="77777777" w:rsidR="00095F8B" w:rsidRPr="00B47608" w:rsidRDefault="00095F8B"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41</w:t>
            </w:r>
          </w:p>
        </w:tc>
      </w:tr>
      <w:tr w:rsidR="00095F8B" w:rsidRPr="00B47608" w14:paraId="5AB5DF1C" w14:textId="77777777" w:rsidTr="00680DED">
        <w:trPr>
          <w:trHeight w:val="288"/>
        </w:trPr>
        <w:tc>
          <w:tcPr>
            <w:tcW w:w="1916" w:type="pct"/>
            <w:shd w:val="clear" w:color="auto" w:fill="auto"/>
            <w:noWrap/>
            <w:vAlign w:val="bottom"/>
            <w:hideMark/>
          </w:tcPr>
          <w:p w14:paraId="5AA321E3" w14:textId="77777777" w:rsidR="00095F8B" w:rsidRPr="00B47608" w:rsidRDefault="00095F8B"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Altre industrie</w:t>
            </w:r>
          </w:p>
        </w:tc>
        <w:tc>
          <w:tcPr>
            <w:tcW w:w="1027" w:type="pct"/>
            <w:shd w:val="clear" w:color="auto" w:fill="auto"/>
            <w:noWrap/>
            <w:vAlign w:val="bottom"/>
            <w:hideMark/>
          </w:tcPr>
          <w:p w14:paraId="3F57EB30" w14:textId="77777777" w:rsidR="00095F8B" w:rsidRPr="00B47608" w:rsidRDefault="00095F8B"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28</w:t>
            </w:r>
          </w:p>
        </w:tc>
        <w:tc>
          <w:tcPr>
            <w:tcW w:w="1028" w:type="pct"/>
            <w:shd w:val="clear" w:color="auto" w:fill="auto"/>
            <w:noWrap/>
            <w:vAlign w:val="bottom"/>
            <w:hideMark/>
          </w:tcPr>
          <w:p w14:paraId="2AE67598" w14:textId="77777777" w:rsidR="00095F8B" w:rsidRPr="00B47608" w:rsidRDefault="00095F8B"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w:t>
            </w:r>
          </w:p>
        </w:tc>
        <w:tc>
          <w:tcPr>
            <w:tcW w:w="1028" w:type="pct"/>
            <w:shd w:val="clear" w:color="auto" w:fill="auto"/>
            <w:noWrap/>
            <w:vAlign w:val="bottom"/>
            <w:hideMark/>
          </w:tcPr>
          <w:p w14:paraId="663A03EF" w14:textId="77777777" w:rsidR="00095F8B" w:rsidRPr="00B47608" w:rsidRDefault="00095F8B"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38</w:t>
            </w:r>
          </w:p>
        </w:tc>
      </w:tr>
      <w:tr w:rsidR="00095F8B" w:rsidRPr="00B47608" w14:paraId="4261CD9E" w14:textId="77777777" w:rsidTr="00680DED">
        <w:trPr>
          <w:trHeight w:val="288"/>
        </w:trPr>
        <w:tc>
          <w:tcPr>
            <w:tcW w:w="1916" w:type="pct"/>
            <w:shd w:val="clear" w:color="auto" w:fill="auto"/>
            <w:noWrap/>
            <w:vAlign w:val="bottom"/>
            <w:hideMark/>
          </w:tcPr>
          <w:p w14:paraId="0E3D159C" w14:textId="77777777" w:rsidR="00095F8B" w:rsidRPr="00B47608" w:rsidRDefault="00095F8B"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Calzature</w:t>
            </w:r>
          </w:p>
        </w:tc>
        <w:tc>
          <w:tcPr>
            <w:tcW w:w="1027" w:type="pct"/>
            <w:shd w:val="clear" w:color="auto" w:fill="auto"/>
            <w:noWrap/>
            <w:vAlign w:val="bottom"/>
            <w:hideMark/>
          </w:tcPr>
          <w:p w14:paraId="5872AC61" w14:textId="77777777" w:rsidR="00095F8B" w:rsidRPr="00B47608" w:rsidRDefault="00095F8B"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7</w:t>
            </w:r>
          </w:p>
        </w:tc>
        <w:tc>
          <w:tcPr>
            <w:tcW w:w="1028" w:type="pct"/>
            <w:shd w:val="clear" w:color="auto" w:fill="auto"/>
            <w:noWrap/>
            <w:vAlign w:val="bottom"/>
            <w:hideMark/>
          </w:tcPr>
          <w:p w14:paraId="424BF39C" w14:textId="77777777" w:rsidR="00095F8B" w:rsidRPr="00B47608" w:rsidRDefault="00095F8B"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8</w:t>
            </w:r>
          </w:p>
        </w:tc>
        <w:tc>
          <w:tcPr>
            <w:tcW w:w="1028" w:type="pct"/>
            <w:shd w:val="clear" w:color="auto" w:fill="auto"/>
            <w:noWrap/>
            <w:vAlign w:val="bottom"/>
            <w:hideMark/>
          </w:tcPr>
          <w:p w14:paraId="76CD7080" w14:textId="77777777" w:rsidR="00095F8B" w:rsidRPr="00B47608" w:rsidRDefault="00095F8B"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15</w:t>
            </w:r>
          </w:p>
        </w:tc>
      </w:tr>
      <w:tr w:rsidR="00095F8B" w:rsidRPr="00B47608" w14:paraId="4F689258" w14:textId="77777777" w:rsidTr="00680DED">
        <w:trPr>
          <w:trHeight w:val="288"/>
        </w:trPr>
        <w:tc>
          <w:tcPr>
            <w:tcW w:w="1916" w:type="pct"/>
            <w:shd w:val="clear" w:color="auto" w:fill="auto"/>
            <w:noWrap/>
            <w:vAlign w:val="bottom"/>
            <w:hideMark/>
          </w:tcPr>
          <w:p w14:paraId="3D1A0EA0" w14:textId="77777777" w:rsidR="00095F8B" w:rsidRPr="00B47608" w:rsidRDefault="00095F8B"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Cartiere, grafici, cartotecnici</w:t>
            </w:r>
          </w:p>
        </w:tc>
        <w:tc>
          <w:tcPr>
            <w:tcW w:w="1027" w:type="pct"/>
            <w:shd w:val="clear" w:color="auto" w:fill="auto"/>
            <w:noWrap/>
            <w:vAlign w:val="bottom"/>
            <w:hideMark/>
          </w:tcPr>
          <w:p w14:paraId="2BAFDD01" w14:textId="77777777" w:rsidR="00095F8B" w:rsidRPr="00B47608" w:rsidRDefault="00095F8B"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12</w:t>
            </w:r>
          </w:p>
        </w:tc>
        <w:tc>
          <w:tcPr>
            <w:tcW w:w="1028" w:type="pct"/>
            <w:shd w:val="clear" w:color="auto" w:fill="auto"/>
            <w:noWrap/>
            <w:vAlign w:val="bottom"/>
            <w:hideMark/>
          </w:tcPr>
          <w:p w14:paraId="14BE30C7" w14:textId="77777777" w:rsidR="00095F8B" w:rsidRPr="00B47608" w:rsidRDefault="00095F8B"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8</w:t>
            </w:r>
          </w:p>
        </w:tc>
        <w:tc>
          <w:tcPr>
            <w:tcW w:w="1028" w:type="pct"/>
            <w:shd w:val="clear" w:color="auto" w:fill="auto"/>
            <w:noWrap/>
            <w:vAlign w:val="bottom"/>
            <w:hideMark/>
          </w:tcPr>
          <w:p w14:paraId="5F620BB9" w14:textId="77777777" w:rsidR="00095F8B" w:rsidRPr="00B47608" w:rsidRDefault="00095F8B"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20</w:t>
            </w:r>
          </w:p>
        </w:tc>
      </w:tr>
      <w:tr w:rsidR="00095F8B" w:rsidRPr="00B47608" w14:paraId="0C736FA2" w14:textId="77777777" w:rsidTr="00680DED">
        <w:trPr>
          <w:trHeight w:val="288"/>
        </w:trPr>
        <w:tc>
          <w:tcPr>
            <w:tcW w:w="1916" w:type="pct"/>
            <w:shd w:val="clear" w:color="auto" w:fill="auto"/>
            <w:noWrap/>
            <w:vAlign w:val="bottom"/>
            <w:hideMark/>
          </w:tcPr>
          <w:p w14:paraId="79C32783" w14:textId="77777777" w:rsidR="00095F8B" w:rsidRPr="00B47608" w:rsidRDefault="00095F8B"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Chimici, petroliferi</w:t>
            </w:r>
          </w:p>
        </w:tc>
        <w:tc>
          <w:tcPr>
            <w:tcW w:w="1027" w:type="pct"/>
            <w:shd w:val="clear" w:color="auto" w:fill="auto"/>
            <w:noWrap/>
            <w:vAlign w:val="bottom"/>
            <w:hideMark/>
          </w:tcPr>
          <w:p w14:paraId="4ECFBBDC" w14:textId="77777777" w:rsidR="00095F8B" w:rsidRPr="00B47608" w:rsidRDefault="00095F8B"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38</w:t>
            </w:r>
          </w:p>
        </w:tc>
        <w:tc>
          <w:tcPr>
            <w:tcW w:w="1028" w:type="pct"/>
            <w:shd w:val="clear" w:color="auto" w:fill="auto"/>
            <w:noWrap/>
            <w:vAlign w:val="bottom"/>
            <w:hideMark/>
          </w:tcPr>
          <w:p w14:paraId="1266B6B9" w14:textId="77777777" w:rsidR="00095F8B" w:rsidRPr="00B47608" w:rsidRDefault="00095F8B"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37</w:t>
            </w:r>
          </w:p>
        </w:tc>
        <w:tc>
          <w:tcPr>
            <w:tcW w:w="1028" w:type="pct"/>
            <w:shd w:val="clear" w:color="auto" w:fill="auto"/>
            <w:noWrap/>
            <w:vAlign w:val="bottom"/>
            <w:hideMark/>
          </w:tcPr>
          <w:p w14:paraId="097C9BD8" w14:textId="77777777" w:rsidR="00095F8B" w:rsidRPr="00B47608" w:rsidRDefault="00095F8B"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75</w:t>
            </w:r>
          </w:p>
        </w:tc>
      </w:tr>
      <w:tr w:rsidR="00095F8B" w:rsidRPr="00B47608" w14:paraId="6425A6C7" w14:textId="77777777" w:rsidTr="00680DED">
        <w:trPr>
          <w:trHeight w:val="288"/>
        </w:trPr>
        <w:tc>
          <w:tcPr>
            <w:tcW w:w="1916" w:type="pct"/>
            <w:shd w:val="clear" w:color="auto" w:fill="auto"/>
            <w:noWrap/>
            <w:vAlign w:val="bottom"/>
            <w:hideMark/>
          </w:tcPr>
          <w:p w14:paraId="438E5C3D" w14:textId="77777777" w:rsidR="00095F8B" w:rsidRPr="00B47608" w:rsidRDefault="00095F8B"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Energia e gas</w:t>
            </w:r>
          </w:p>
        </w:tc>
        <w:tc>
          <w:tcPr>
            <w:tcW w:w="1027" w:type="pct"/>
            <w:shd w:val="clear" w:color="auto" w:fill="auto"/>
            <w:noWrap/>
            <w:vAlign w:val="bottom"/>
            <w:hideMark/>
          </w:tcPr>
          <w:p w14:paraId="47756774" w14:textId="77777777" w:rsidR="00095F8B" w:rsidRPr="00B47608" w:rsidRDefault="00095F8B"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w:t>
            </w:r>
          </w:p>
        </w:tc>
        <w:tc>
          <w:tcPr>
            <w:tcW w:w="1028" w:type="pct"/>
            <w:shd w:val="clear" w:color="auto" w:fill="auto"/>
            <w:noWrap/>
            <w:vAlign w:val="bottom"/>
            <w:hideMark/>
          </w:tcPr>
          <w:p w14:paraId="7E0E9811" w14:textId="77777777" w:rsidR="00095F8B" w:rsidRPr="00B47608" w:rsidRDefault="00095F8B" w:rsidP="00ED2A57">
            <w:pPr>
              <w:spacing w:after="0" w:line="240" w:lineRule="auto"/>
              <w:jc w:val="center"/>
              <w:rPr>
                <w:rFonts w:eastAsia="Times New Roman" w:cs="Calibri"/>
                <w:color w:val="000000"/>
                <w:kern w:val="0"/>
                <w:lang w:eastAsia="it-IT"/>
                <w14:ligatures w14:val="none"/>
              </w:rPr>
            </w:pPr>
          </w:p>
        </w:tc>
        <w:tc>
          <w:tcPr>
            <w:tcW w:w="1028" w:type="pct"/>
            <w:shd w:val="clear" w:color="auto" w:fill="auto"/>
            <w:noWrap/>
            <w:vAlign w:val="bottom"/>
            <w:hideMark/>
          </w:tcPr>
          <w:p w14:paraId="10ECB698" w14:textId="77777777" w:rsidR="00095F8B" w:rsidRPr="00B47608" w:rsidRDefault="00095F8B"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w:t>
            </w:r>
          </w:p>
        </w:tc>
      </w:tr>
      <w:tr w:rsidR="00095F8B" w:rsidRPr="00B47608" w14:paraId="56622C34" w14:textId="77777777" w:rsidTr="00680DED">
        <w:trPr>
          <w:trHeight w:val="288"/>
        </w:trPr>
        <w:tc>
          <w:tcPr>
            <w:tcW w:w="1916" w:type="pct"/>
            <w:shd w:val="clear" w:color="auto" w:fill="auto"/>
            <w:noWrap/>
            <w:vAlign w:val="bottom"/>
            <w:hideMark/>
          </w:tcPr>
          <w:p w14:paraId="137C1E07" w14:textId="77777777" w:rsidR="00095F8B" w:rsidRPr="00B47608" w:rsidRDefault="00095F8B"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Legno e arredo</w:t>
            </w:r>
          </w:p>
        </w:tc>
        <w:tc>
          <w:tcPr>
            <w:tcW w:w="1027" w:type="pct"/>
            <w:shd w:val="clear" w:color="auto" w:fill="auto"/>
            <w:noWrap/>
            <w:vAlign w:val="bottom"/>
            <w:hideMark/>
          </w:tcPr>
          <w:p w14:paraId="1B989E14" w14:textId="77777777" w:rsidR="00095F8B" w:rsidRPr="00B47608" w:rsidRDefault="00095F8B"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31</w:t>
            </w:r>
          </w:p>
        </w:tc>
        <w:tc>
          <w:tcPr>
            <w:tcW w:w="1028" w:type="pct"/>
            <w:shd w:val="clear" w:color="auto" w:fill="auto"/>
            <w:noWrap/>
            <w:vAlign w:val="bottom"/>
            <w:hideMark/>
          </w:tcPr>
          <w:p w14:paraId="48F52D32" w14:textId="77777777" w:rsidR="00095F8B" w:rsidRPr="00B47608" w:rsidRDefault="00095F8B"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29</w:t>
            </w:r>
          </w:p>
        </w:tc>
        <w:tc>
          <w:tcPr>
            <w:tcW w:w="1028" w:type="pct"/>
            <w:shd w:val="clear" w:color="auto" w:fill="auto"/>
            <w:noWrap/>
            <w:vAlign w:val="bottom"/>
            <w:hideMark/>
          </w:tcPr>
          <w:p w14:paraId="00D3BF65" w14:textId="77777777" w:rsidR="00095F8B" w:rsidRPr="00B47608" w:rsidRDefault="00095F8B"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60</w:t>
            </w:r>
          </w:p>
        </w:tc>
      </w:tr>
      <w:tr w:rsidR="00095F8B" w:rsidRPr="00B47608" w14:paraId="4A012E06" w14:textId="77777777" w:rsidTr="00680DED">
        <w:trPr>
          <w:trHeight w:val="288"/>
        </w:trPr>
        <w:tc>
          <w:tcPr>
            <w:tcW w:w="1916" w:type="pct"/>
            <w:shd w:val="clear" w:color="auto" w:fill="auto"/>
            <w:noWrap/>
            <w:vAlign w:val="bottom"/>
            <w:hideMark/>
          </w:tcPr>
          <w:p w14:paraId="0F46AEAC" w14:textId="77777777" w:rsidR="00095F8B" w:rsidRPr="00B47608" w:rsidRDefault="00095F8B"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Metalmeccanica</w:t>
            </w:r>
          </w:p>
        </w:tc>
        <w:tc>
          <w:tcPr>
            <w:tcW w:w="1027" w:type="pct"/>
            <w:shd w:val="clear" w:color="auto" w:fill="auto"/>
            <w:noWrap/>
            <w:vAlign w:val="bottom"/>
            <w:hideMark/>
          </w:tcPr>
          <w:p w14:paraId="25A7AB04" w14:textId="77777777" w:rsidR="00095F8B" w:rsidRPr="00B47608" w:rsidRDefault="00095F8B"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87</w:t>
            </w:r>
          </w:p>
        </w:tc>
        <w:tc>
          <w:tcPr>
            <w:tcW w:w="1028" w:type="pct"/>
            <w:shd w:val="clear" w:color="auto" w:fill="auto"/>
            <w:noWrap/>
            <w:vAlign w:val="bottom"/>
            <w:hideMark/>
          </w:tcPr>
          <w:p w14:paraId="2C588A93" w14:textId="77777777" w:rsidR="00095F8B" w:rsidRPr="00B47608" w:rsidRDefault="00095F8B"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106</w:t>
            </w:r>
          </w:p>
        </w:tc>
        <w:tc>
          <w:tcPr>
            <w:tcW w:w="1028" w:type="pct"/>
            <w:shd w:val="clear" w:color="auto" w:fill="auto"/>
            <w:noWrap/>
            <w:vAlign w:val="bottom"/>
            <w:hideMark/>
          </w:tcPr>
          <w:p w14:paraId="5BC9063D" w14:textId="77777777" w:rsidR="00095F8B" w:rsidRPr="00B47608" w:rsidRDefault="00095F8B"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193</w:t>
            </w:r>
          </w:p>
        </w:tc>
      </w:tr>
      <w:tr w:rsidR="00095F8B" w:rsidRPr="00B47608" w14:paraId="478ABF7A" w14:textId="77777777" w:rsidTr="00680DED">
        <w:trPr>
          <w:trHeight w:val="288"/>
        </w:trPr>
        <w:tc>
          <w:tcPr>
            <w:tcW w:w="1916" w:type="pct"/>
            <w:shd w:val="clear" w:color="auto" w:fill="auto"/>
            <w:noWrap/>
            <w:vAlign w:val="bottom"/>
            <w:hideMark/>
          </w:tcPr>
          <w:p w14:paraId="2A4F6A2F" w14:textId="77777777" w:rsidR="00095F8B" w:rsidRPr="00B47608" w:rsidRDefault="00095F8B"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Prodotti e servizi per le costruzioni</w:t>
            </w:r>
          </w:p>
        </w:tc>
        <w:tc>
          <w:tcPr>
            <w:tcW w:w="1027" w:type="pct"/>
            <w:shd w:val="clear" w:color="auto" w:fill="auto"/>
            <w:noWrap/>
            <w:vAlign w:val="bottom"/>
            <w:hideMark/>
          </w:tcPr>
          <w:p w14:paraId="43A943EC" w14:textId="77777777" w:rsidR="00095F8B" w:rsidRPr="00B47608" w:rsidRDefault="00095F8B"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11</w:t>
            </w:r>
          </w:p>
        </w:tc>
        <w:tc>
          <w:tcPr>
            <w:tcW w:w="1028" w:type="pct"/>
            <w:shd w:val="clear" w:color="auto" w:fill="auto"/>
            <w:noWrap/>
            <w:vAlign w:val="bottom"/>
            <w:hideMark/>
          </w:tcPr>
          <w:p w14:paraId="4F9F8D13" w14:textId="77777777" w:rsidR="00095F8B" w:rsidRPr="00B47608" w:rsidRDefault="00095F8B"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w:t>
            </w:r>
          </w:p>
        </w:tc>
        <w:tc>
          <w:tcPr>
            <w:tcW w:w="1028" w:type="pct"/>
            <w:shd w:val="clear" w:color="auto" w:fill="auto"/>
            <w:noWrap/>
            <w:vAlign w:val="bottom"/>
            <w:hideMark/>
          </w:tcPr>
          <w:p w14:paraId="36F3F1A9" w14:textId="77777777" w:rsidR="00095F8B" w:rsidRPr="00B47608" w:rsidRDefault="00095F8B"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14</w:t>
            </w:r>
          </w:p>
        </w:tc>
      </w:tr>
      <w:tr w:rsidR="00095F8B" w:rsidRPr="00B47608" w14:paraId="164CBA01" w14:textId="77777777" w:rsidTr="00680DED">
        <w:trPr>
          <w:trHeight w:val="288"/>
        </w:trPr>
        <w:tc>
          <w:tcPr>
            <w:tcW w:w="1916" w:type="pct"/>
            <w:shd w:val="clear" w:color="auto" w:fill="auto"/>
            <w:noWrap/>
            <w:vAlign w:val="bottom"/>
            <w:hideMark/>
          </w:tcPr>
          <w:p w14:paraId="30E0986B" w14:textId="77777777" w:rsidR="00095F8B" w:rsidRPr="00B47608" w:rsidRDefault="00095F8B"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Sistema moda e tessili</w:t>
            </w:r>
          </w:p>
        </w:tc>
        <w:tc>
          <w:tcPr>
            <w:tcW w:w="1027" w:type="pct"/>
            <w:shd w:val="clear" w:color="auto" w:fill="auto"/>
            <w:noWrap/>
            <w:vAlign w:val="bottom"/>
            <w:hideMark/>
          </w:tcPr>
          <w:p w14:paraId="33440655" w14:textId="77777777" w:rsidR="00095F8B" w:rsidRPr="00B47608" w:rsidRDefault="00095F8B"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17</w:t>
            </w:r>
          </w:p>
        </w:tc>
        <w:tc>
          <w:tcPr>
            <w:tcW w:w="1028" w:type="pct"/>
            <w:shd w:val="clear" w:color="auto" w:fill="auto"/>
            <w:noWrap/>
            <w:vAlign w:val="bottom"/>
            <w:hideMark/>
          </w:tcPr>
          <w:p w14:paraId="53B3ACF7" w14:textId="77777777" w:rsidR="00095F8B" w:rsidRPr="00B47608" w:rsidRDefault="00095F8B"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15</w:t>
            </w:r>
          </w:p>
        </w:tc>
        <w:tc>
          <w:tcPr>
            <w:tcW w:w="1028" w:type="pct"/>
            <w:shd w:val="clear" w:color="auto" w:fill="auto"/>
            <w:noWrap/>
            <w:vAlign w:val="bottom"/>
            <w:hideMark/>
          </w:tcPr>
          <w:p w14:paraId="2EFF6183" w14:textId="77777777" w:rsidR="00095F8B" w:rsidRPr="00B47608" w:rsidRDefault="00095F8B"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32</w:t>
            </w:r>
          </w:p>
        </w:tc>
      </w:tr>
      <w:tr w:rsidR="00095F8B" w:rsidRPr="00B47608" w14:paraId="12FAF7E1" w14:textId="77777777" w:rsidTr="00680DED">
        <w:trPr>
          <w:trHeight w:val="288"/>
        </w:trPr>
        <w:tc>
          <w:tcPr>
            <w:tcW w:w="1916" w:type="pct"/>
            <w:shd w:val="clear" w:color="auto" w:fill="auto"/>
            <w:noWrap/>
            <w:vAlign w:val="bottom"/>
            <w:hideMark/>
          </w:tcPr>
          <w:p w14:paraId="188882EB" w14:textId="73827F43" w:rsidR="00095F8B" w:rsidRPr="00B47608" w:rsidRDefault="00095F8B" w:rsidP="00ED2A57">
            <w:pPr>
              <w:spacing w:after="0" w:line="240" w:lineRule="auto"/>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 xml:space="preserve">Totale </w:t>
            </w:r>
          </w:p>
        </w:tc>
        <w:tc>
          <w:tcPr>
            <w:tcW w:w="1027" w:type="pct"/>
            <w:shd w:val="clear" w:color="auto" w:fill="auto"/>
            <w:noWrap/>
            <w:vAlign w:val="bottom"/>
            <w:hideMark/>
          </w:tcPr>
          <w:p w14:paraId="481340F2" w14:textId="77777777" w:rsidR="00095F8B" w:rsidRPr="00B47608" w:rsidRDefault="00095F8B"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257</w:t>
            </w:r>
          </w:p>
        </w:tc>
        <w:tc>
          <w:tcPr>
            <w:tcW w:w="1028" w:type="pct"/>
            <w:shd w:val="clear" w:color="auto" w:fill="auto"/>
            <w:noWrap/>
            <w:vAlign w:val="bottom"/>
            <w:hideMark/>
          </w:tcPr>
          <w:p w14:paraId="25AF5A02" w14:textId="77777777" w:rsidR="00095F8B" w:rsidRPr="00B47608" w:rsidRDefault="00095F8B"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232</w:t>
            </w:r>
          </w:p>
        </w:tc>
        <w:tc>
          <w:tcPr>
            <w:tcW w:w="1028" w:type="pct"/>
            <w:shd w:val="clear" w:color="auto" w:fill="auto"/>
            <w:noWrap/>
            <w:vAlign w:val="bottom"/>
            <w:hideMark/>
          </w:tcPr>
          <w:p w14:paraId="531CCD40" w14:textId="77777777" w:rsidR="00095F8B" w:rsidRPr="00B47608" w:rsidRDefault="00095F8B"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489</w:t>
            </w:r>
          </w:p>
        </w:tc>
      </w:tr>
    </w:tbl>
    <w:p w14:paraId="3B97272B" w14:textId="122199FF" w:rsidR="004F34D9" w:rsidRPr="00B47608" w:rsidRDefault="002C4E8C" w:rsidP="00ED2A57">
      <w:pPr>
        <w:spacing w:after="0"/>
        <w:jc w:val="both"/>
      </w:pPr>
      <w:r w:rsidRPr="00B47608">
        <w:t>*Valori assoluti non pesati.</w:t>
      </w:r>
    </w:p>
    <w:p w14:paraId="68539C32" w14:textId="77777777" w:rsidR="008B1EE5" w:rsidRPr="00B47608" w:rsidRDefault="008B1EE5" w:rsidP="00ED2A57">
      <w:pPr>
        <w:spacing w:after="0"/>
        <w:jc w:val="both"/>
      </w:pPr>
    </w:p>
    <w:p w14:paraId="605AB402" w14:textId="77777777" w:rsidR="00C40B5F" w:rsidRPr="00B47608" w:rsidRDefault="00C40B5F" w:rsidP="00ED2A57">
      <w:pPr>
        <w:spacing w:after="0"/>
        <w:jc w:val="both"/>
      </w:pPr>
    </w:p>
    <w:p w14:paraId="00264A90" w14:textId="05BCCFDC" w:rsidR="00B66E0D" w:rsidRPr="00B47608" w:rsidRDefault="00B66E0D" w:rsidP="00ED2A57">
      <w:pPr>
        <w:spacing w:after="0"/>
        <w:jc w:val="both"/>
        <w:rPr>
          <w:b/>
          <w:bCs/>
        </w:rPr>
      </w:pPr>
      <w:r w:rsidRPr="00B47608">
        <w:rPr>
          <w:b/>
          <w:bCs/>
        </w:rPr>
        <w:t>NM 2 - Imprese rispondenti internazionalizzate per settore e classe dimensionale (fatturato)*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98"/>
        <w:gridCol w:w="890"/>
        <w:gridCol w:w="890"/>
        <w:gridCol w:w="890"/>
        <w:gridCol w:w="890"/>
        <w:gridCol w:w="890"/>
        <w:gridCol w:w="890"/>
        <w:gridCol w:w="890"/>
      </w:tblGrid>
      <w:tr w:rsidR="004F6DA8" w:rsidRPr="00B47608" w14:paraId="41E685FA" w14:textId="77777777" w:rsidTr="00680DED">
        <w:trPr>
          <w:trHeight w:val="288"/>
        </w:trPr>
        <w:tc>
          <w:tcPr>
            <w:tcW w:w="1764" w:type="pct"/>
            <w:shd w:val="clear" w:color="auto" w:fill="auto"/>
            <w:noWrap/>
            <w:vAlign w:val="center"/>
            <w:hideMark/>
          </w:tcPr>
          <w:p w14:paraId="09F30046" w14:textId="5B2F8110" w:rsidR="00963E11" w:rsidRPr="00B47608" w:rsidRDefault="00963E11" w:rsidP="00ED2A57">
            <w:pPr>
              <w:spacing w:after="0" w:line="240" w:lineRule="auto"/>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Settore</w:t>
            </w:r>
          </w:p>
        </w:tc>
        <w:tc>
          <w:tcPr>
            <w:tcW w:w="462" w:type="pct"/>
            <w:shd w:val="clear" w:color="auto" w:fill="auto"/>
            <w:noWrap/>
            <w:vAlign w:val="center"/>
            <w:hideMark/>
          </w:tcPr>
          <w:p w14:paraId="4A5E3733" w14:textId="35649D1D" w:rsidR="00963E11" w:rsidRPr="00B47608" w:rsidRDefault="00963E11" w:rsidP="00ED2A57">
            <w:pPr>
              <w:spacing w:after="0" w:line="240" w:lineRule="auto"/>
              <w:jc w:val="center"/>
              <w:rPr>
                <w:rFonts w:eastAsia="Times New Roman" w:cs="Calibri"/>
                <w:b/>
                <w:bCs/>
                <w:color w:val="000000"/>
                <w:kern w:val="0"/>
                <w:sz w:val="16"/>
                <w:szCs w:val="16"/>
                <w:lang w:eastAsia="it-IT"/>
                <w14:ligatures w14:val="none"/>
              </w:rPr>
            </w:pPr>
            <w:r w:rsidRPr="00B47608">
              <w:rPr>
                <w:b/>
                <w:bCs/>
                <w:sz w:val="16"/>
                <w:szCs w:val="16"/>
              </w:rPr>
              <w:t xml:space="preserve">fino a 2 </w:t>
            </w:r>
            <w:r w:rsidR="004F6DA8" w:rsidRPr="00B47608">
              <w:rPr>
                <w:b/>
                <w:bCs/>
                <w:sz w:val="16"/>
                <w:szCs w:val="16"/>
              </w:rPr>
              <w:t>mil.</w:t>
            </w:r>
            <w:r w:rsidRPr="00B47608">
              <w:rPr>
                <w:b/>
                <w:bCs/>
                <w:sz w:val="16"/>
                <w:szCs w:val="16"/>
              </w:rPr>
              <w:t xml:space="preserve"> di </w:t>
            </w:r>
            <w:r w:rsidR="004F6DA8" w:rsidRPr="00B47608">
              <w:rPr>
                <w:b/>
                <w:bCs/>
                <w:sz w:val="16"/>
                <w:szCs w:val="16"/>
              </w:rPr>
              <w:t>euro</w:t>
            </w:r>
          </w:p>
        </w:tc>
        <w:tc>
          <w:tcPr>
            <w:tcW w:w="462" w:type="pct"/>
            <w:shd w:val="clear" w:color="auto" w:fill="auto"/>
            <w:noWrap/>
            <w:vAlign w:val="center"/>
            <w:hideMark/>
          </w:tcPr>
          <w:p w14:paraId="1B787B18" w14:textId="55977912" w:rsidR="00963E11" w:rsidRPr="00B47608" w:rsidRDefault="00963E11" w:rsidP="00ED2A57">
            <w:pPr>
              <w:spacing w:after="0" w:line="240" w:lineRule="auto"/>
              <w:jc w:val="center"/>
              <w:rPr>
                <w:rFonts w:eastAsia="Times New Roman" w:cs="Calibri"/>
                <w:b/>
                <w:bCs/>
                <w:color w:val="000000"/>
                <w:kern w:val="0"/>
                <w:sz w:val="16"/>
                <w:szCs w:val="16"/>
                <w:lang w:eastAsia="it-IT"/>
                <w14:ligatures w14:val="none"/>
              </w:rPr>
            </w:pPr>
            <w:r w:rsidRPr="00B47608">
              <w:rPr>
                <w:b/>
                <w:bCs/>
                <w:sz w:val="16"/>
                <w:szCs w:val="16"/>
              </w:rPr>
              <w:t xml:space="preserve">da 2 a 10 </w:t>
            </w:r>
            <w:r w:rsidR="004F6DA8" w:rsidRPr="00B47608">
              <w:rPr>
                <w:b/>
                <w:bCs/>
                <w:sz w:val="16"/>
                <w:szCs w:val="16"/>
              </w:rPr>
              <w:t>mil.</w:t>
            </w:r>
            <w:r w:rsidRPr="00B47608">
              <w:rPr>
                <w:b/>
                <w:bCs/>
                <w:sz w:val="16"/>
                <w:szCs w:val="16"/>
              </w:rPr>
              <w:t xml:space="preserve"> di </w:t>
            </w:r>
            <w:r w:rsidR="004F6DA8" w:rsidRPr="00B47608">
              <w:rPr>
                <w:b/>
                <w:bCs/>
                <w:sz w:val="16"/>
                <w:szCs w:val="16"/>
              </w:rPr>
              <w:t>euro</w:t>
            </w:r>
          </w:p>
        </w:tc>
        <w:tc>
          <w:tcPr>
            <w:tcW w:w="462" w:type="pct"/>
            <w:shd w:val="clear" w:color="auto" w:fill="auto"/>
            <w:noWrap/>
            <w:vAlign w:val="center"/>
            <w:hideMark/>
          </w:tcPr>
          <w:p w14:paraId="7816F9D8" w14:textId="0F75A4C6" w:rsidR="00963E11" w:rsidRPr="00B47608" w:rsidRDefault="00963E11" w:rsidP="00ED2A57">
            <w:pPr>
              <w:spacing w:after="0" w:line="240" w:lineRule="auto"/>
              <w:jc w:val="center"/>
              <w:rPr>
                <w:rFonts w:eastAsia="Times New Roman" w:cs="Calibri"/>
                <w:b/>
                <w:bCs/>
                <w:color w:val="000000"/>
                <w:kern w:val="0"/>
                <w:sz w:val="16"/>
                <w:szCs w:val="16"/>
                <w:lang w:eastAsia="it-IT"/>
                <w14:ligatures w14:val="none"/>
              </w:rPr>
            </w:pPr>
            <w:r w:rsidRPr="00B47608">
              <w:rPr>
                <w:b/>
                <w:bCs/>
                <w:sz w:val="16"/>
                <w:szCs w:val="16"/>
              </w:rPr>
              <w:t xml:space="preserve">da 10 a 25 </w:t>
            </w:r>
            <w:r w:rsidR="004F6DA8" w:rsidRPr="00B47608">
              <w:rPr>
                <w:b/>
                <w:bCs/>
                <w:sz w:val="16"/>
                <w:szCs w:val="16"/>
              </w:rPr>
              <w:t>mil.</w:t>
            </w:r>
            <w:r w:rsidRPr="00B47608">
              <w:rPr>
                <w:b/>
                <w:bCs/>
                <w:sz w:val="16"/>
                <w:szCs w:val="16"/>
              </w:rPr>
              <w:t xml:space="preserve"> di </w:t>
            </w:r>
            <w:r w:rsidR="004F6DA8" w:rsidRPr="00B47608">
              <w:rPr>
                <w:b/>
                <w:bCs/>
                <w:sz w:val="16"/>
                <w:szCs w:val="16"/>
              </w:rPr>
              <w:t>euro</w:t>
            </w:r>
          </w:p>
        </w:tc>
        <w:tc>
          <w:tcPr>
            <w:tcW w:w="462" w:type="pct"/>
            <w:shd w:val="clear" w:color="auto" w:fill="auto"/>
            <w:noWrap/>
            <w:vAlign w:val="center"/>
            <w:hideMark/>
          </w:tcPr>
          <w:p w14:paraId="247BC12A" w14:textId="1D90E882" w:rsidR="00963E11" w:rsidRPr="00B47608" w:rsidRDefault="00963E11" w:rsidP="00ED2A57">
            <w:pPr>
              <w:spacing w:after="0" w:line="240" w:lineRule="auto"/>
              <w:jc w:val="center"/>
              <w:rPr>
                <w:rFonts w:eastAsia="Times New Roman" w:cs="Calibri"/>
                <w:b/>
                <w:bCs/>
                <w:color w:val="000000"/>
                <w:kern w:val="0"/>
                <w:sz w:val="16"/>
                <w:szCs w:val="16"/>
                <w:lang w:eastAsia="it-IT"/>
                <w14:ligatures w14:val="none"/>
              </w:rPr>
            </w:pPr>
            <w:r w:rsidRPr="00B47608">
              <w:rPr>
                <w:b/>
                <w:bCs/>
                <w:sz w:val="16"/>
                <w:szCs w:val="16"/>
              </w:rPr>
              <w:t xml:space="preserve">da 25 a 50 </w:t>
            </w:r>
            <w:r w:rsidR="004F6DA8" w:rsidRPr="00B47608">
              <w:rPr>
                <w:b/>
                <w:bCs/>
                <w:sz w:val="16"/>
                <w:szCs w:val="16"/>
              </w:rPr>
              <w:t>mil.</w:t>
            </w:r>
            <w:r w:rsidRPr="00B47608">
              <w:rPr>
                <w:b/>
                <w:bCs/>
                <w:sz w:val="16"/>
                <w:szCs w:val="16"/>
              </w:rPr>
              <w:t xml:space="preserve"> di </w:t>
            </w:r>
            <w:r w:rsidR="004F6DA8" w:rsidRPr="00B47608">
              <w:rPr>
                <w:b/>
                <w:bCs/>
                <w:sz w:val="16"/>
                <w:szCs w:val="16"/>
              </w:rPr>
              <w:t>euro</w:t>
            </w:r>
          </w:p>
        </w:tc>
        <w:tc>
          <w:tcPr>
            <w:tcW w:w="462" w:type="pct"/>
            <w:shd w:val="clear" w:color="auto" w:fill="auto"/>
            <w:noWrap/>
            <w:vAlign w:val="center"/>
            <w:hideMark/>
          </w:tcPr>
          <w:p w14:paraId="3AAE3F1A" w14:textId="06FFA5F6" w:rsidR="00963E11" w:rsidRPr="00B47608" w:rsidRDefault="00963E11" w:rsidP="00ED2A57">
            <w:pPr>
              <w:spacing w:after="0" w:line="240" w:lineRule="auto"/>
              <w:jc w:val="center"/>
              <w:rPr>
                <w:rFonts w:eastAsia="Times New Roman" w:cs="Calibri"/>
                <w:b/>
                <w:bCs/>
                <w:color w:val="000000"/>
                <w:kern w:val="0"/>
                <w:sz w:val="16"/>
                <w:szCs w:val="16"/>
                <w:lang w:eastAsia="it-IT"/>
                <w14:ligatures w14:val="none"/>
              </w:rPr>
            </w:pPr>
            <w:r w:rsidRPr="00B47608">
              <w:rPr>
                <w:b/>
                <w:bCs/>
                <w:sz w:val="16"/>
                <w:szCs w:val="16"/>
              </w:rPr>
              <w:t xml:space="preserve">oltre 50 </w:t>
            </w:r>
            <w:r w:rsidR="004F6DA8" w:rsidRPr="00B47608">
              <w:rPr>
                <w:b/>
                <w:bCs/>
                <w:sz w:val="16"/>
                <w:szCs w:val="16"/>
              </w:rPr>
              <w:t>mil.</w:t>
            </w:r>
            <w:r w:rsidRPr="00B47608">
              <w:rPr>
                <w:b/>
                <w:bCs/>
                <w:sz w:val="16"/>
                <w:szCs w:val="16"/>
              </w:rPr>
              <w:t xml:space="preserve"> di </w:t>
            </w:r>
            <w:r w:rsidR="004F6DA8" w:rsidRPr="00B47608">
              <w:rPr>
                <w:b/>
                <w:bCs/>
                <w:sz w:val="16"/>
                <w:szCs w:val="16"/>
              </w:rPr>
              <w:t>euro</w:t>
            </w:r>
          </w:p>
        </w:tc>
        <w:tc>
          <w:tcPr>
            <w:tcW w:w="462" w:type="pct"/>
            <w:shd w:val="clear" w:color="auto" w:fill="auto"/>
            <w:noWrap/>
            <w:vAlign w:val="center"/>
            <w:hideMark/>
          </w:tcPr>
          <w:p w14:paraId="49B78FED" w14:textId="7C858A9C" w:rsidR="00963E11" w:rsidRPr="00B47608" w:rsidRDefault="00963E11" w:rsidP="00ED2A57">
            <w:pPr>
              <w:spacing w:after="0" w:line="240" w:lineRule="auto"/>
              <w:jc w:val="center"/>
              <w:rPr>
                <w:rFonts w:eastAsia="Times New Roman" w:cs="Calibri"/>
                <w:b/>
                <w:bCs/>
                <w:color w:val="000000"/>
                <w:kern w:val="0"/>
                <w:sz w:val="16"/>
                <w:szCs w:val="16"/>
                <w:lang w:eastAsia="it-IT"/>
                <w14:ligatures w14:val="none"/>
              </w:rPr>
            </w:pPr>
            <w:r w:rsidRPr="00B47608">
              <w:rPr>
                <w:b/>
                <w:bCs/>
                <w:sz w:val="16"/>
                <w:szCs w:val="16"/>
              </w:rPr>
              <w:t>non so / non rispond</w:t>
            </w:r>
            <w:r w:rsidR="00C577A2" w:rsidRPr="00B47608">
              <w:rPr>
                <w:b/>
                <w:bCs/>
                <w:sz w:val="16"/>
                <w:szCs w:val="16"/>
              </w:rPr>
              <w:t>e</w:t>
            </w:r>
          </w:p>
        </w:tc>
        <w:tc>
          <w:tcPr>
            <w:tcW w:w="462" w:type="pct"/>
            <w:shd w:val="clear" w:color="auto" w:fill="auto"/>
            <w:noWrap/>
            <w:vAlign w:val="center"/>
            <w:hideMark/>
          </w:tcPr>
          <w:p w14:paraId="22195BE1" w14:textId="0CD21B51" w:rsidR="00963E11" w:rsidRPr="00B47608" w:rsidRDefault="00963E11" w:rsidP="00ED2A57">
            <w:pPr>
              <w:spacing w:after="0" w:line="240" w:lineRule="auto"/>
              <w:jc w:val="center"/>
              <w:rPr>
                <w:rFonts w:eastAsia="Times New Roman" w:cs="Calibri"/>
                <w:b/>
                <w:bCs/>
                <w:color w:val="000000"/>
                <w:kern w:val="0"/>
                <w:sz w:val="16"/>
                <w:szCs w:val="16"/>
                <w:lang w:eastAsia="it-IT"/>
                <w14:ligatures w14:val="none"/>
              </w:rPr>
            </w:pPr>
            <w:r w:rsidRPr="00B47608">
              <w:rPr>
                <w:rFonts w:eastAsia="Times New Roman" w:cs="Calibri"/>
                <w:b/>
                <w:bCs/>
                <w:color w:val="000000"/>
                <w:kern w:val="0"/>
                <w:sz w:val="16"/>
                <w:szCs w:val="16"/>
                <w:lang w:eastAsia="it-IT"/>
                <w14:ligatures w14:val="none"/>
              </w:rPr>
              <w:t>Totale</w:t>
            </w:r>
          </w:p>
        </w:tc>
      </w:tr>
      <w:tr w:rsidR="004F6DA8" w:rsidRPr="00B47608" w14:paraId="5AA2102B" w14:textId="77777777" w:rsidTr="00680DED">
        <w:trPr>
          <w:trHeight w:val="288"/>
        </w:trPr>
        <w:tc>
          <w:tcPr>
            <w:tcW w:w="1764" w:type="pct"/>
            <w:shd w:val="clear" w:color="auto" w:fill="auto"/>
            <w:noWrap/>
            <w:vAlign w:val="bottom"/>
            <w:hideMark/>
          </w:tcPr>
          <w:p w14:paraId="43AEAD59" w14:textId="77777777" w:rsidR="00B66E0D" w:rsidRPr="00B47608" w:rsidRDefault="00B66E0D"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Alimentari e bevande</w:t>
            </w:r>
          </w:p>
        </w:tc>
        <w:tc>
          <w:tcPr>
            <w:tcW w:w="462" w:type="pct"/>
            <w:shd w:val="clear" w:color="auto" w:fill="auto"/>
            <w:noWrap/>
            <w:vAlign w:val="bottom"/>
            <w:hideMark/>
          </w:tcPr>
          <w:p w14:paraId="1F3D0DE5" w14:textId="77777777" w:rsidR="00B66E0D" w:rsidRPr="00B47608" w:rsidRDefault="00B66E0D"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w:t>
            </w:r>
          </w:p>
        </w:tc>
        <w:tc>
          <w:tcPr>
            <w:tcW w:w="462" w:type="pct"/>
            <w:shd w:val="clear" w:color="auto" w:fill="auto"/>
            <w:noWrap/>
            <w:vAlign w:val="bottom"/>
            <w:hideMark/>
          </w:tcPr>
          <w:p w14:paraId="044AC683" w14:textId="77777777" w:rsidR="00B66E0D" w:rsidRPr="00B47608" w:rsidRDefault="00B66E0D"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12</w:t>
            </w:r>
          </w:p>
        </w:tc>
        <w:tc>
          <w:tcPr>
            <w:tcW w:w="462" w:type="pct"/>
            <w:shd w:val="clear" w:color="auto" w:fill="auto"/>
            <w:noWrap/>
            <w:vAlign w:val="bottom"/>
            <w:hideMark/>
          </w:tcPr>
          <w:p w14:paraId="43AE4B88" w14:textId="77777777" w:rsidR="00B66E0D" w:rsidRPr="00B47608" w:rsidRDefault="00B66E0D"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14</w:t>
            </w:r>
          </w:p>
        </w:tc>
        <w:tc>
          <w:tcPr>
            <w:tcW w:w="462" w:type="pct"/>
            <w:shd w:val="clear" w:color="auto" w:fill="auto"/>
            <w:noWrap/>
            <w:vAlign w:val="bottom"/>
            <w:hideMark/>
          </w:tcPr>
          <w:p w14:paraId="1094863D" w14:textId="77777777" w:rsidR="00B66E0D" w:rsidRPr="00B47608" w:rsidRDefault="00B66E0D"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7</w:t>
            </w:r>
          </w:p>
        </w:tc>
        <w:tc>
          <w:tcPr>
            <w:tcW w:w="462" w:type="pct"/>
            <w:shd w:val="clear" w:color="auto" w:fill="auto"/>
            <w:noWrap/>
            <w:vAlign w:val="bottom"/>
            <w:hideMark/>
          </w:tcPr>
          <w:p w14:paraId="2CEE7FDE" w14:textId="77777777" w:rsidR="00B66E0D" w:rsidRPr="00B47608" w:rsidRDefault="00B66E0D"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6</w:t>
            </w:r>
          </w:p>
        </w:tc>
        <w:tc>
          <w:tcPr>
            <w:tcW w:w="462" w:type="pct"/>
            <w:shd w:val="clear" w:color="auto" w:fill="auto"/>
            <w:noWrap/>
            <w:vAlign w:val="bottom"/>
            <w:hideMark/>
          </w:tcPr>
          <w:p w14:paraId="54AC39D8" w14:textId="77777777" w:rsidR="00B66E0D" w:rsidRPr="00B47608" w:rsidRDefault="00B66E0D" w:rsidP="00ED2A57">
            <w:pPr>
              <w:spacing w:after="0" w:line="240" w:lineRule="auto"/>
              <w:jc w:val="center"/>
              <w:rPr>
                <w:rFonts w:eastAsia="Times New Roman" w:cs="Calibri"/>
                <w:color w:val="000000"/>
                <w:kern w:val="0"/>
                <w:lang w:eastAsia="it-IT"/>
                <w14:ligatures w14:val="none"/>
              </w:rPr>
            </w:pPr>
          </w:p>
        </w:tc>
        <w:tc>
          <w:tcPr>
            <w:tcW w:w="462" w:type="pct"/>
            <w:shd w:val="clear" w:color="auto" w:fill="auto"/>
            <w:noWrap/>
            <w:vAlign w:val="bottom"/>
            <w:hideMark/>
          </w:tcPr>
          <w:p w14:paraId="6E33F745" w14:textId="77777777" w:rsidR="00B66E0D" w:rsidRPr="00B47608" w:rsidRDefault="00B66E0D"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41</w:t>
            </w:r>
          </w:p>
        </w:tc>
      </w:tr>
      <w:tr w:rsidR="004F6DA8" w:rsidRPr="00B47608" w14:paraId="18391597" w14:textId="77777777" w:rsidTr="00680DED">
        <w:trPr>
          <w:trHeight w:val="288"/>
        </w:trPr>
        <w:tc>
          <w:tcPr>
            <w:tcW w:w="1764" w:type="pct"/>
            <w:shd w:val="clear" w:color="auto" w:fill="auto"/>
            <w:noWrap/>
            <w:vAlign w:val="bottom"/>
            <w:hideMark/>
          </w:tcPr>
          <w:p w14:paraId="16533670" w14:textId="77777777" w:rsidR="00B66E0D" w:rsidRPr="00B47608" w:rsidRDefault="00B66E0D"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Altre industrie</w:t>
            </w:r>
          </w:p>
        </w:tc>
        <w:tc>
          <w:tcPr>
            <w:tcW w:w="462" w:type="pct"/>
            <w:shd w:val="clear" w:color="auto" w:fill="auto"/>
            <w:noWrap/>
            <w:vAlign w:val="bottom"/>
            <w:hideMark/>
          </w:tcPr>
          <w:p w14:paraId="115C20FC" w14:textId="77777777" w:rsidR="00B66E0D" w:rsidRPr="00B47608" w:rsidRDefault="00B66E0D"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14</w:t>
            </w:r>
          </w:p>
        </w:tc>
        <w:tc>
          <w:tcPr>
            <w:tcW w:w="462" w:type="pct"/>
            <w:shd w:val="clear" w:color="auto" w:fill="auto"/>
            <w:noWrap/>
            <w:vAlign w:val="bottom"/>
            <w:hideMark/>
          </w:tcPr>
          <w:p w14:paraId="166A232A" w14:textId="77777777" w:rsidR="00B66E0D" w:rsidRPr="00B47608" w:rsidRDefault="00B66E0D"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15</w:t>
            </w:r>
          </w:p>
        </w:tc>
        <w:tc>
          <w:tcPr>
            <w:tcW w:w="462" w:type="pct"/>
            <w:shd w:val="clear" w:color="auto" w:fill="auto"/>
            <w:noWrap/>
            <w:vAlign w:val="bottom"/>
            <w:hideMark/>
          </w:tcPr>
          <w:p w14:paraId="00D3BDE8" w14:textId="77777777" w:rsidR="00B66E0D" w:rsidRPr="00B47608" w:rsidRDefault="00B66E0D"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w:t>
            </w:r>
          </w:p>
        </w:tc>
        <w:tc>
          <w:tcPr>
            <w:tcW w:w="462" w:type="pct"/>
            <w:shd w:val="clear" w:color="auto" w:fill="auto"/>
            <w:noWrap/>
            <w:vAlign w:val="bottom"/>
            <w:hideMark/>
          </w:tcPr>
          <w:p w14:paraId="562910DF" w14:textId="77777777" w:rsidR="00B66E0D" w:rsidRPr="00B47608" w:rsidRDefault="00B66E0D"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w:t>
            </w:r>
          </w:p>
        </w:tc>
        <w:tc>
          <w:tcPr>
            <w:tcW w:w="462" w:type="pct"/>
            <w:shd w:val="clear" w:color="auto" w:fill="auto"/>
            <w:noWrap/>
            <w:vAlign w:val="bottom"/>
            <w:hideMark/>
          </w:tcPr>
          <w:p w14:paraId="00791F92" w14:textId="77777777" w:rsidR="00B66E0D" w:rsidRPr="00B47608" w:rsidRDefault="00B66E0D"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w:t>
            </w:r>
          </w:p>
        </w:tc>
        <w:tc>
          <w:tcPr>
            <w:tcW w:w="462" w:type="pct"/>
            <w:shd w:val="clear" w:color="auto" w:fill="auto"/>
            <w:noWrap/>
            <w:vAlign w:val="bottom"/>
            <w:hideMark/>
          </w:tcPr>
          <w:p w14:paraId="41BCD9D6" w14:textId="77777777" w:rsidR="00B66E0D" w:rsidRPr="00B47608" w:rsidRDefault="00B66E0D" w:rsidP="00ED2A57">
            <w:pPr>
              <w:spacing w:after="0" w:line="240" w:lineRule="auto"/>
              <w:jc w:val="center"/>
              <w:rPr>
                <w:rFonts w:eastAsia="Times New Roman" w:cs="Calibri"/>
                <w:color w:val="000000"/>
                <w:kern w:val="0"/>
                <w:lang w:eastAsia="it-IT"/>
                <w14:ligatures w14:val="none"/>
              </w:rPr>
            </w:pPr>
          </w:p>
        </w:tc>
        <w:tc>
          <w:tcPr>
            <w:tcW w:w="462" w:type="pct"/>
            <w:shd w:val="clear" w:color="auto" w:fill="auto"/>
            <w:noWrap/>
            <w:vAlign w:val="bottom"/>
            <w:hideMark/>
          </w:tcPr>
          <w:p w14:paraId="04FDD09F" w14:textId="77777777" w:rsidR="00B66E0D" w:rsidRPr="00B47608" w:rsidRDefault="00B66E0D"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38</w:t>
            </w:r>
          </w:p>
        </w:tc>
      </w:tr>
      <w:tr w:rsidR="004F6DA8" w:rsidRPr="00B47608" w14:paraId="55465300" w14:textId="77777777" w:rsidTr="00680DED">
        <w:trPr>
          <w:trHeight w:val="288"/>
        </w:trPr>
        <w:tc>
          <w:tcPr>
            <w:tcW w:w="1764" w:type="pct"/>
            <w:shd w:val="clear" w:color="auto" w:fill="auto"/>
            <w:noWrap/>
            <w:vAlign w:val="bottom"/>
            <w:hideMark/>
          </w:tcPr>
          <w:p w14:paraId="60FE13AD" w14:textId="77777777" w:rsidR="00B66E0D" w:rsidRPr="00B47608" w:rsidRDefault="00B66E0D"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Calzature</w:t>
            </w:r>
          </w:p>
        </w:tc>
        <w:tc>
          <w:tcPr>
            <w:tcW w:w="462" w:type="pct"/>
            <w:shd w:val="clear" w:color="auto" w:fill="auto"/>
            <w:noWrap/>
            <w:vAlign w:val="bottom"/>
            <w:hideMark/>
          </w:tcPr>
          <w:p w14:paraId="0E45BB2D" w14:textId="77777777" w:rsidR="00B66E0D" w:rsidRPr="00B47608" w:rsidRDefault="00B66E0D" w:rsidP="00ED2A57">
            <w:pPr>
              <w:spacing w:after="0" w:line="240" w:lineRule="auto"/>
              <w:jc w:val="center"/>
              <w:rPr>
                <w:rFonts w:eastAsia="Times New Roman" w:cs="Calibri"/>
                <w:color w:val="000000"/>
                <w:kern w:val="0"/>
                <w:lang w:eastAsia="it-IT"/>
                <w14:ligatures w14:val="none"/>
              </w:rPr>
            </w:pPr>
          </w:p>
        </w:tc>
        <w:tc>
          <w:tcPr>
            <w:tcW w:w="462" w:type="pct"/>
            <w:shd w:val="clear" w:color="auto" w:fill="auto"/>
            <w:noWrap/>
            <w:vAlign w:val="bottom"/>
            <w:hideMark/>
          </w:tcPr>
          <w:p w14:paraId="242A7355" w14:textId="77777777" w:rsidR="00B66E0D" w:rsidRPr="00B47608" w:rsidRDefault="00B66E0D"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7</w:t>
            </w:r>
          </w:p>
        </w:tc>
        <w:tc>
          <w:tcPr>
            <w:tcW w:w="462" w:type="pct"/>
            <w:shd w:val="clear" w:color="auto" w:fill="auto"/>
            <w:noWrap/>
            <w:vAlign w:val="bottom"/>
            <w:hideMark/>
          </w:tcPr>
          <w:p w14:paraId="0B975062" w14:textId="77777777" w:rsidR="00B66E0D" w:rsidRPr="00B47608" w:rsidRDefault="00B66E0D"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w:t>
            </w:r>
          </w:p>
        </w:tc>
        <w:tc>
          <w:tcPr>
            <w:tcW w:w="462" w:type="pct"/>
            <w:shd w:val="clear" w:color="auto" w:fill="auto"/>
            <w:noWrap/>
            <w:vAlign w:val="bottom"/>
            <w:hideMark/>
          </w:tcPr>
          <w:p w14:paraId="46F38489" w14:textId="77777777" w:rsidR="00B66E0D" w:rsidRPr="00B47608" w:rsidRDefault="00B66E0D"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w:t>
            </w:r>
          </w:p>
        </w:tc>
        <w:tc>
          <w:tcPr>
            <w:tcW w:w="462" w:type="pct"/>
            <w:shd w:val="clear" w:color="auto" w:fill="auto"/>
            <w:noWrap/>
            <w:vAlign w:val="bottom"/>
            <w:hideMark/>
          </w:tcPr>
          <w:p w14:paraId="073059CF" w14:textId="77777777" w:rsidR="00B66E0D" w:rsidRPr="00B47608" w:rsidRDefault="00B66E0D"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4</w:t>
            </w:r>
          </w:p>
        </w:tc>
        <w:tc>
          <w:tcPr>
            <w:tcW w:w="462" w:type="pct"/>
            <w:shd w:val="clear" w:color="auto" w:fill="auto"/>
            <w:noWrap/>
            <w:vAlign w:val="bottom"/>
            <w:hideMark/>
          </w:tcPr>
          <w:p w14:paraId="64F20C19" w14:textId="77777777" w:rsidR="00B66E0D" w:rsidRPr="00B47608" w:rsidRDefault="00B66E0D" w:rsidP="00ED2A57">
            <w:pPr>
              <w:spacing w:after="0" w:line="240" w:lineRule="auto"/>
              <w:jc w:val="center"/>
              <w:rPr>
                <w:rFonts w:eastAsia="Times New Roman" w:cs="Calibri"/>
                <w:color w:val="000000"/>
                <w:kern w:val="0"/>
                <w:lang w:eastAsia="it-IT"/>
                <w14:ligatures w14:val="none"/>
              </w:rPr>
            </w:pPr>
          </w:p>
        </w:tc>
        <w:tc>
          <w:tcPr>
            <w:tcW w:w="462" w:type="pct"/>
            <w:shd w:val="clear" w:color="auto" w:fill="auto"/>
            <w:noWrap/>
            <w:vAlign w:val="bottom"/>
            <w:hideMark/>
          </w:tcPr>
          <w:p w14:paraId="34C71A3D" w14:textId="77777777" w:rsidR="00B66E0D" w:rsidRPr="00B47608" w:rsidRDefault="00B66E0D"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15</w:t>
            </w:r>
          </w:p>
        </w:tc>
      </w:tr>
      <w:tr w:rsidR="004F6DA8" w:rsidRPr="00B47608" w14:paraId="3EBCE8B1" w14:textId="77777777" w:rsidTr="00680DED">
        <w:trPr>
          <w:trHeight w:val="288"/>
        </w:trPr>
        <w:tc>
          <w:tcPr>
            <w:tcW w:w="1764" w:type="pct"/>
            <w:shd w:val="clear" w:color="auto" w:fill="auto"/>
            <w:noWrap/>
            <w:vAlign w:val="bottom"/>
            <w:hideMark/>
          </w:tcPr>
          <w:p w14:paraId="05EB13BA" w14:textId="77777777" w:rsidR="00B66E0D" w:rsidRPr="00B47608" w:rsidRDefault="00B66E0D"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Cartiere, grafici, cartotecnici</w:t>
            </w:r>
          </w:p>
        </w:tc>
        <w:tc>
          <w:tcPr>
            <w:tcW w:w="462" w:type="pct"/>
            <w:shd w:val="clear" w:color="auto" w:fill="auto"/>
            <w:noWrap/>
            <w:vAlign w:val="bottom"/>
            <w:hideMark/>
          </w:tcPr>
          <w:p w14:paraId="26606930" w14:textId="77777777" w:rsidR="00B66E0D" w:rsidRPr="00B47608" w:rsidRDefault="00B66E0D"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w:t>
            </w:r>
          </w:p>
        </w:tc>
        <w:tc>
          <w:tcPr>
            <w:tcW w:w="462" w:type="pct"/>
            <w:shd w:val="clear" w:color="auto" w:fill="auto"/>
            <w:noWrap/>
            <w:vAlign w:val="bottom"/>
            <w:hideMark/>
          </w:tcPr>
          <w:p w14:paraId="5BB02D21" w14:textId="77777777" w:rsidR="00B66E0D" w:rsidRPr="00B47608" w:rsidRDefault="00B66E0D"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8</w:t>
            </w:r>
          </w:p>
        </w:tc>
        <w:tc>
          <w:tcPr>
            <w:tcW w:w="462" w:type="pct"/>
            <w:shd w:val="clear" w:color="auto" w:fill="auto"/>
            <w:noWrap/>
            <w:vAlign w:val="bottom"/>
            <w:hideMark/>
          </w:tcPr>
          <w:p w14:paraId="10C02AE6" w14:textId="77777777" w:rsidR="00B66E0D" w:rsidRPr="00B47608" w:rsidRDefault="00B66E0D"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w:t>
            </w:r>
          </w:p>
        </w:tc>
        <w:tc>
          <w:tcPr>
            <w:tcW w:w="462" w:type="pct"/>
            <w:shd w:val="clear" w:color="auto" w:fill="auto"/>
            <w:noWrap/>
            <w:vAlign w:val="bottom"/>
            <w:hideMark/>
          </w:tcPr>
          <w:p w14:paraId="373A8037" w14:textId="77777777" w:rsidR="00B66E0D" w:rsidRPr="00B47608" w:rsidRDefault="00B66E0D"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5</w:t>
            </w:r>
          </w:p>
        </w:tc>
        <w:tc>
          <w:tcPr>
            <w:tcW w:w="462" w:type="pct"/>
            <w:shd w:val="clear" w:color="auto" w:fill="auto"/>
            <w:noWrap/>
            <w:vAlign w:val="bottom"/>
            <w:hideMark/>
          </w:tcPr>
          <w:p w14:paraId="5A557C78" w14:textId="77777777" w:rsidR="00B66E0D" w:rsidRPr="00B47608" w:rsidRDefault="00B66E0D"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w:t>
            </w:r>
          </w:p>
        </w:tc>
        <w:tc>
          <w:tcPr>
            <w:tcW w:w="462" w:type="pct"/>
            <w:shd w:val="clear" w:color="auto" w:fill="auto"/>
            <w:noWrap/>
            <w:vAlign w:val="bottom"/>
            <w:hideMark/>
          </w:tcPr>
          <w:p w14:paraId="1C94F42B" w14:textId="77777777" w:rsidR="00B66E0D" w:rsidRPr="00B47608" w:rsidRDefault="00B66E0D" w:rsidP="00ED2A57">
            <w:pPr>
              <w:spacing w:after="0" w:line="240" w:lineRule="auto"/>
              <w:jc w:val="center"/>
              <w:rPr>
                <w:rFonts w:eastAsia="Times New Roman" w:cs="Calibri"/>
                <w:color w:val="000000"/>
                <w:kern w:val="0"/>
                <w:lang w:eastAsia="it-IT"/>
                <w14:ligatures w14:val="none"/>
              </w:rPr>
            </w:pPr>
          </w:p>
        </w:tc>
        <w:tc>
          <w:tcPr>
            <w:tcW w:w="462" w:type="pct"/>
            <w:shd w:val="clear" w:color="auto" w:fill="auto"/>
            <w:noWrap/>
            <w:vAlign w:val="bottom"/>
            <w:hideMark/>
          </w:tcPr>
          <w:p w14:paraId="1967D0AB" w14:textId="77777777" w:rsidR="00B66E0D" w:rsidRPr="00B47608" w:rsidRDefault="00B66E0D"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20</w:t>
            </w:r>
          </w:p>
        </w:tc>
      </w:tr>
      <w:tr w:rsidR="004F6DA8" w:rsidRPr="00B47608" w14:paraId="04465EDF" w14:textId="77777777" w:rsidTr="00680DED">
        <w:trPr>
          <w:trHeight w:val="288"/>
        </w:trPr>
        <w:tc>
          <w:tcPr>
            <w:tcW w:w="1764" w:type="pct"/>
            <w:shd w:val="clear" w:color="auto" w:fill="auto"/>
            <w:noWrap/>
            <w:vAlign w:val="bottom"/>
            <w:hideMark/>
          </w:tcPr>
          <w:p w14:paraId="7037AD75" w14:textId="77777777" w:rsidR="00B66E0D" w:rsidRPr="00B47608" w:rsidRDefault="00B66E0D"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Chimici, petroliferi</w:t>
            </w:r>
          </w:p>
        </w:tc>
        <w:tc>
          <w:tcPr>
            <w:tcW w:w="462" w:type="pct"/>
            <w:shd w:val="clear" w:color="auto" w:fill="auto"/>
            <w:noWrap/>
            <w:vAlign w:val="bottom"/>
            <w:hideMark/>
          </w:tcPr>
          <w:p w14:paraId="23065592" w14:textId="77777777" w:rsidR="00B66E0D" w:rsidRPr="00B47608" w:rsidRDefault="00B66E0D"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w:t>
            </w:r>
          </w:p>
        </w:tc>
        <w:tc>
          <w:tcPr>
            <w:tcW w:w="462" w:type="pct"/>
            <w:shd w:val="clear" w:color="auto" w:fill="auto"/>
            <w:noWrap/>
            <w:vAlign w:val="bottom"/>
            <w:hideMark/>
          </w:tcPr>
          <w:p w14:paraId="450D8374" w14:textId="77777777" w:rsidR="00B66E0D" w:rsidRPr="00B47608" w:rsidRDefault="00B66E0D"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26</w:t>
            </w:r>
          </w:p>
        </w:tc>
        <w:tc>
          <w:tcPr>
            <w:tcW w:w="462" w:type="pct"/>
            <w:shd w:val="clear" w:color="auto" w:fill="auto"/>
            <w:noWrap/>
            <w:vAlign w:val="bottom"/>
            <w:hideMark/>
          </w:tcPr>
          <w:p w14:paraId="3278C292" w14:textId="77777777" w:rsidR="00B66E0D" w:rsidRPr="00B47608" w:rsidRDefault="00B66E0D"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19</w:t>
            </w:r>
          </w:p>
        </w:tc>
        <w:tc>
          <w:tcPr>
            <w:tcW w:w="462" w:type="pct"/>
            <w:shd w:val="clear" w:color="auto" w:fill="auto"/>
            <w:noWrap/>
            <w:vAlign w:val="bottom"/>
            <w:hideMark/>
          </w:tcPr>
          <w:p w14:paraId="5DCD352D" w14:textId="77777777" w:rsidR="00B66E0D" w:rsidRPr="00B47608" w:rsidRDefault="00B66E0D"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11</w:t>
            </w:r>
          </w:p>
        </w:tc>
        <w:tc>
          <w:tcPr>
            <w:tcW w:w="462" w:type="pct"/>
            <w:shd w:val="clear" w:color="auto" w:fill="auto"/>
            <w:noWrap/>
            <w:vAlign w:val="bottom"/>
            <w:hideMark/>
          </w:tcPr>
          <w:p w14:paraId="247DECE5" w14:textId="77777777" w:rsidR="00B66E0D" w:rsidRPr="00B47608" w:rsidRDefault="00B66E0D"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15</w:t>
            </w:r>
          </w:p>
        </w:tc>
        <w:tc>
          <w:tcPr>
            <w:tcW w:w="462" w:type="pct"/>
            <w:shd w:val="clear" w:color="auto" w:fill="auto"/>
            <w:noWrap/>
            <w:vAlign w:val="bottom"/>
            <w:hideMark/>
          </w:tcPr>
          <w:p w14:paraId="0DF5D61A" w14:textId="77777777" w:rsidR="00B66E0D" w:rsidRPr="00B47608" w:rsidRDefault="00B66E0D"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w:t>
            </w:r>
          </w:p>
        </w:tc>
        <w:tc>
          <w:tcPr>
            <w:tcW w:w="462" w:type="pct"/>
            <w:shd w:val="clear" w:color="auto" w:fill="auto"/>
            <w:noWrap/>
            <w:vAlign w:val="bottom"/>
            <w:hideMark/>
          </w:tcPr>
          <w:p w14:paraId="2B234CCF" w14:textId="77777777" w:rsidR="00B66E0D" w:rsidRPr="00B47608" w:rsidRDefault="00B66E0D"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75</w:t>
            </w:r>
          </w:p>
        </w:tc>
      </w:tr>
      <w:tr w:rsidR="004F6DA8" w:rsidRPr="00B47608" w14:paraId="3DB005CE" w14:textId="77777777" w:rsidTr="00680DED">
        <w:trPr>
          <w:trHeight w:val="288"/>
        </w:trPr>
        <w:tc>
          <w:tcPr>
            <w:tcW w:w="1764" w:type="pct"/>
            <w:shd w:val="clear" w:color="auto" w:fill="auto"/>
            <w:noWrap/>
            <w:vAlign w:val="bottom"/>
            <w:hideMark/>
          </w:tcPr>
          <w:p w14:paraId="1AB230EF" w14:textId="77777777" w:rsidR="00B66E0D" w:rsidRPr="00B47608" w:rsidRDefault="00B66E0D"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Energia e gas</w:t>
            </w:r>
          </w:p>
        </w:tc>
        <w:tc>
          <w:tcPr>
            <w:tcW w:w="462" w:type="pct"/>
            <w:shd w:val="clear" w:color="auto" w:fill="auto"/>
            <w:noWrap/>
            <w:vAlign w:val="bottom"/>
            <w:hideMark/>
          </w:tcPr>
          <w:p w14:paraId="410C02D6" w14:textId="77777777" w:rsidR="00B66E0D" w:rsidRPr="00B47608" w:rsidRDefault="00B66E0D" w:rsidP="00ED2A57">
            <w:pPr>
              <w:spacing w:after="0" w:line="240" w:lineRule="auto"/>
              <w:jc w:val="center"/>
              <w:rPr>
                <w:rFonts w:eastAsia="Times New Roman" w:cs="Calibri"/>
                <w:color w:val="000000"/>
                <w:kern w:val="0"/>
                <w:lang w:eastAsia="it-IT"/>
                <w14:ligatures w14:val="none"/>
              </w:rPr>
            </w:pPr>
          </w:p>
        </w:tc>
        <w:tc>
          <w:tcPr>
            <w:tcW w:w="462" w:type="pct"/>
            <w:shd w:val="clear" w:color="auto" w:fill="auto"/>
            <w:noWrap/>
            <w:vAlign w:val="bottom"/>
            <w:hideMark/>
          </w:tcPr>
          <w:p w14:paraId="04D5A68F" w14:textId="77777777" w:rsidR="00B66E0D" w:rsidRPr="00B47608" w:rsidRDefault="00B66E0D"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w:t>
            </w:r>
          </w:p>
        </w:tc>
        <w:tc>
          <w:tcPr>
            <w:tcW w:w="462" w:type="pct"/>
            <w:shd w:val="clear" w:color="auto" w:fill="auto"/>
            <w:noWrap/>
            <w:vAlign w:val="bottom"/>
            <w:hideMark/>
          </w:tcPr>
          <w:p w14:paraId="1363751F" w14:textId="77777777" w:rsidR="00B66E0D" w:rsidRPr="00B47608" w:rsidRDefault="00B66E0D" w:rsidP="00ED2A57">
            <w:pPr>
              <w:spacing w:after="0" w:line="240" w:lineRule="auto"/>
              <w:jc w:val="center"/>
              <w:rPr>
                <w:rFonts w:eastAsia="Times New Roman" w:cs="Calibri"/>
                <w:color w:val="000000"/>
                <w:kern w:val="0"/>
                <w:lang w:eastAsia="it-IT"/>
                <w14:ligatures w14:val="none"/>
              </w:rPr>
            </w:pPr>
          </w:p>
        </w:tc>
        <w:tc>
          <w:tcPr>
            <w:tcW w:w="462" w:type="pct"/>
            <w:shd w:val="clear" w:color="auto" w:fill="auto"/>
            <w:noWrap/>
            <w:vAlign w:val="bottom"/>
            <w:hideMark/>
          </w:tcPr>
          <w:p w14:paraId="6990F070" w14:textId="77777777" w:rsidR="00B66E0D" w:rsidRPr="00B47608" w:rsidRDefault="00B66E0D" w:rsidP="00ED2A57">
            <w:pPr>
              <w:spacing w:after="0" w:line="240" w:lineRule="auto"/>
              <w:jc w:val="center"/>
              <w:rPr>
                <w:rFonts w:eastAsia="Times New Roman" w:cs="Times New Roman"/>
                <w:kern w:val="0"/>
                <w:sz w:val="20"/>
                <w:szCs w:val="20"/>
                <w:lang w:eastAsia="it-IT"/>
                <w14:ligatures w14:val="none"/>
              </w:rPr>
            </w:pPr>
          </w:p>
        </w:tc>
        <w:tc>
          <w:tcPr>
            <w:tcW w:w="462" w:type="pct"/>
            <w:shd w:val="clear" w:color="auto" w:fill="auto"/>
            <w:noWrap/>
            <w:vAlign w:val="bottom"/>
            <w:hideMark/>
          </w:tcPr>
          <w:p w14:paraId="7864F225" w14:textId="77777777" w:rsidR="00B66E0D" w:rsidRPr="00B47608" w:rsidRDefault="00B66E0D" w:rsidP="00ED2A57">
            <w:pPr>
              <w:spacing w:after="0" w:line="240" w:lineRule="auto"/>
              <w:jc w:val="center"/>
              <w:rPr>
                <w:rFonts w:eastAsia="Times New Roman" w:cs="Times New Roman"/>
                <w:kern w:val="0"/>
                <w:sz w:val="20"/>
                <w:szCs w:val="20"/>
                <w:lang w:eastAsia="it-IT"/>
                <w14:ligatures w14:val="none"/>
              </w:rPr>
            </w:pPr>
          </w:p>
        </w:tc>
        <w:tc>
          <w:tcPr>
            <w:tcW w:w="462" w:type="pct"/>
            <w:shd w:val="clear" w:color="auto" w:fill="auto"/>
            <w:noWrap/>
            <w:vAlign w:val="bottom"/>
            <w:hideMark/>
          </w:tcPr>
          <w:p w14:paraId="53AA6023" w14:textId="77777777" w:rsidR="00B66E0D" w:rsidRPr="00B47608" w:rsidRDefault="00B66E0D" w:rsidP="00ED2A57">
            <w:pPr>
              <w:spacing w:after="0" w:line="240" w:lineRule="auto"/>
              <w:jc w:val="center"/>
              <w:rPr>
                <w:rFonts w:eastAsia="Times New Roman" w:cs="Times New Roman"/>
                <w:kern w:val="0"/>
                <w:sz w:val="20"/>
                <w:szCs w:val="20"/>
                <w:lang w:eastAsia="it-IT"/>
                <w14:ligatures w14:val="none"/>
              </w:rPr>
            </w:pPr>
          </w:p>
        </w:tc>
        <w:tc>
          <w:tcPr>
            <w:tcW w:w="462" w:type="pct"/>
            <w:shd w:val="clear" w:color="auto" w:fill="auto"/>
            <w:noWrap/>
            <w:vAlign w:val="bottom"/>
            <w:hideMark/>
          </w:tcPr>
          <w:p w14:paraId="4A3711BB" w14:textId="77777777" w:rsidR="00B66E0D" w:rsidRPr="00B47608" w:rsidRDefault="00B66E0D"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w:t>
            </w:r>
          </w:p>
        </w:tc>
      </w:tr>
      <w:tr w:rsidR="004F6DA8" w:rsidRPr="00B47608" w14:paraId="081F2959" w14:textId="77777777" w:rsidTr="00680DED">
        <w:trPr>
          <w:trHeight w:val="288"/>
        </w:trPr>
        <w:tc>
          <w:tcPr>
            <w:tcW w:w="1764" w:type="pct"/>
            <w:shd w:val="clear" w:color="auto" w:fill="auto"/>
            <w:noWrap/>
            <w:vAlign w:val="bottom"/>
            <w:hideMark/>
          </w:tcPr>
          <w:p w14:paraId="24DB85A1" w14:textId="77777777" w:rsidR="00B66E0D" w:rsidRPr="00B47608" w:rsidRDefault="00B66E0D"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Legno e arredo</w:t>
            </w:r>
          </w:p>
        </w:tc>
        <w:tc>
          <w:tcPr>
            <w:tcW w:w="462" w:type="pct"/>
            <w:shd w:val="clear" w:color="auto" w:fill="auto"/>
            <w:noWrap/>
            <w:vAlign w:val="bottom"/>
            <w:hideMark/>
          </w:tcPr>
          <w:p w14:paraId="14A24A82" w14:textId="77777777" w:rsidR="00B66E0D" w:rsidRPr="00B47608" w:rsidRDefault="00B66E0D"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5</w:t>
            </w:r>
          </w:p>
        </w:tc>
        <w:tc>
          <w:tcPr>
            <w:tcW w:w="462" w:type="pct"/>
            <w:shd w:val="clear" w:color="auto" w:fill="auto"/>
            <w:noWrap/>
            <w:vAlign w:val="bottom"/>
            <w:hideMark/>
          </w:tcPr>
          <w:p w14:paraId="3111089C" w14:textId="77777777" w:rsidR="00B66E0D" w:rsidRPr="00B47608" w:rsidRDefault="00B66E0D"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19</w:t>
            </w:r>
          </w:p>
        </w:tc>
        <w:tc>
          <w:tcPr>
            <w:tcW w:w="462" w:type="pct"/>
            <w:shd w:val="clear" w:color="auto" w:fill="auto"/>
            <w:noWrap/>
            <w:vAlign w:val="bottom"/>
            <w:hideMark/>
          </w:tcPr>
          <w:p w14:paraId="75842907" w14:textId="77777777" w:rsidR="00B66E0D" w:rsidRPr="00B47608" w:rsidRDefault="00B66E0D"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17</w:t>
            </w:r>
          </w:p>
        </w:tc>
        <w:tc>
          <w:tcPr>
            <w:tcW w:w="462" w:type="pct"/>
            <w:shd w:val="clear" w:color="auto" w:fill="auto"/>
            <w:noWrap/>
            <w:vAlign w:val="bottom"/>
            <w:hideMark/>
          </w:tcPr>
          <w:p w14:paraId="6A26E202" w14:textId="77777777" w:rsidR="00B66E0D" w:rsidRPr="00B47608" w:rsidRDefault="00B66E0D"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8</w:t>
            </w:r>
          </w:p>
        </w:tc>
        <w:tc>
          <w:tcPr>
            <w:tcW w:w="462" w:type="pct"/>
            <w:shd w:val="clear" w:color="auto" w:fill="auto"/>
            <w:noWrap/>
            <w:vAlign w:val="bottom"/>
            <w:hideMark/>
          </w:tcPr>
          <w:p w14:paraId="70B9594A" w14:textId="77777777" w:rsidR="00B66E0D" w:rsidRPr="00B47608" w:rsidRDefault="00B66E0D"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w:t>
            </w:r>
          </w:p>
        </w:tc>
        <w:tc>
          <w:tcPr>
            <w:tcW w:w="462" w:type="pct"/>
            <w:shd w:val="clear" w:color="auto" w:fill="auto"/>
            <w:noWrap/>
            <w:vAlign w:val="bottom"/>
            <w:hideMark/>
          </w:tcPr>
          <w:p w14:paraId="11A361AC" w14:textId="77777777" w:rsidR="00B66E0D" w:rsidRPr="00B47608" w:rsidRDefault="00B66E0D"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w:t>
            </w:r>
          </w:p>
        </w:tc>
        <w:tc>
          <w:tcPr>
            <w:tcW w:w="462" w:type="pct"/>
            <w:shd w:val="clear" w:color="auto" w:fill="auto"/>
            <w:noWrap/>
            <w:vAlign w:val="bottom"/>
            <w:hideMark/>
          </w:tcPr>
          <w:p w14:paraId="43E6CBA4" w14:textId="77777777" w:rsidR="00B66E0D" w:rsidRPr="00B47608" w:rsidRDefault="00B66E0D"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60</w:t>
            </w:r>
          </w:p>
        </w:tc>
      </w:tr>
      <w:tr w:rsidR="004F6DA8" w:rsidRPr="00B47608" w14:paraId="02A05C0B" w14:textId="77777777" w:rsidTr="00680DED">
        <w:trPr>
          <w:trHeight w:val="288"/>
        </w:trPr>
        <w:tc>
          <w:tcPr>
            <w:tcW w:w="1764" w:type="pct"/>
            <w:shd w:val="clear" w:color="auto" w:fill="auto"/>
            <w:noWrap/>
            <w:vAlign w:val="bottom"/>
            <w:hideMark/>
          </w:tcPr>
          <w:p w14:paraId="2E81FBD9" w14:textId="77777777" w:rsidR="00B66E0D" w:rsidRPr="00B47608" w:rsidRDefault="00B66E0D"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Metalmeccanica</w:t>
            </w:r>
          </w:p>
        </w:tc>
        <w:tc>
          <w:tcPr>
            <w:tcW w:w="462" w:type="pct"/>
            <w:shd w:val="clear" w:color="auto" w:fill="auto"/>
            <w:noWrap/>
            <w:vAlign w:val="bottom"/>
            <w:hideMark/>
          </w:tcPr>
          <w:p w14:paraId="4BA7765E" w14:textId="77777777" w:rsidR="00B66E0D" w:rsidRPr="00B47608" w:rsidRDefault="00B66E0D"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w:t>
            </w:r>
          </w:p>
        </w:tc>
        <w:tc>
          <w:tcPr>
            <w:tcW w:w="462" w:type="pct"/>
            <w:shd w:val="clear" w:color="auto" w:fill="auto"/>
            <w:noWrap/>
            <w:vAlign w:val="bottom"/>
            <w:hideMark/>
          </w:tcPr>
          <w:p w14:paraId="7274D960" w14:textId="77777777" w:rsidR="00B66E0D" w:rsidRPr="00B47608" w:rsidRDefault="00B66E0D"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71</w:t>
            </w:r>
          </w:p>
        </w:tc>
        <w:tc>
          <w:tcPr>
            <w:tcW w:w="462" w:type="pct"/>
            <w:shd w:val="clear" w:color="auto" w:fill="auto"/>
            <w:noWrap/>
            <w:vAlign w:val="bottom"/>
            <w:hideMark/>
          </w:tcPr>
          <w:p w14:paraId="07C420EE" w14:textId="77777777" w:rsidR="00B66E0D" w:rsidRPr="00B47608" w:rsidRDefault="00B66E0D"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49</w:t>
            </w:r>
          </w:p>
        </w:tc>
        <w:tc>
          <w:tcPr>
            <w:tcW w:w="462" w:type="pct"/>
            <w:shd w:val="clear" w:color="auto" w:fill="auto"/>
            <w:noWrap/>
            <w:vAlign w:val="bottom"/>
            <w:hideMark/>
          </w:tcPr>
          <w:p w14:paraId="0A2FF10D" w14:textId="77777777" w:rsidR="00B66E0D" w:rsidRPr="00B47608" w:rsidRDefault="00B66E0D"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31</w:t>
            </w:r>
          </w:p>
        </w:tc>
        <w:tc>
          <w:tcPr>
            <w:tcW w:w="462" w:type="pct"/>
            <w:shd w:val="clear" w:color="auto" w:fill="auto"/>
            <w:noWrap/>
            <w:vAlign w:val="bottom"/>
            <w:hideMark/>
          </w:tcPr>
          <w:p w14:paraId="6C3F481A" w14:textId="77777777" w:rsidR="00B66E0D" w:rsidRPr="00B47608" w:rsidRDefault="00B66E0D"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32</w:t>
            </w:r>
          </w:p>
        </w:tc>
        <w:tc>
          <w:tcPr>
            <w:tcW w:w="462" w:type="pct"/>
            <w:shd w:val="clear" w:color="auto" w:fill="auto"/>
            <w:noWrap/>
            <w:vAlign w:val="bottom"/>
            <w:hideMark/>
          </w:tcPr>
          <w:p w14:paraId="52BDF91E" w14:textId="77777777" w:rsidR="00B66E0D" w:rsidRPr="00B47608" w:rsidRDefault="00B66E0D" w:rsidP="00ED2A57">
            <w:pPr>
              <w:spacing w:after="0" w:line="240" w:lineRule="auto"/>
              <w:jc w:val="center"/>
              <w:rPr>
                <w:rFonts w:eastAsia="Times New Roman" w:cs="Calibri"/>
                <w:color w:val="000000"/>
                <w:kern w:val="0"/>
                <w:lang w:eastAsia="it-IT"/>
                <w14:ligatures w14:val="none"/>
              </w:rPr>
            </w:pPr>
          </w:p>
        </w:tc>
        <w:tc>
          <w:tcPr>
            <w:tcW w:w="462" w:type="pct"/>
            <w:shd w:val="clear" w:color="auto" w:fill="auto"/>
            <w:noWrap/>
            <w:vAlign w:val="bottom"/>
            <w:hideMark/>
          </w:tcPr>
          <w:p w14:paraId="5D0ACE7C" w14:textId="77777777" w:rsidR="00B66E0D" w:rsidRPr="00B47608" w:rsidRDefault="00B66E0D"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193</w:t>
            </w:r>
          </w:p>
        </w:tc>
      </w:tr>
      <w:tr w:rsidR="004F6DA8" w:rsidRPr="00B47608" w14:paraId="3318D535" w14:textId="77777777" w:rsidTr="00680DED">
        <w:trPr>
          <w:trHeight w:val="288"/>
        </w:trPr>
        <w:tc>
          <w:tcPr>
            <w:tcW w:w="1764" w:type="pct"/>
            <w:shd w:val="clear" w:color="auto" w:fill="auto"/>
            <w:noWrap/>
            <w:vAlign w:val="bottom"/>
            <w:hideMark/>
          </w:tcPr>
          <w:p w14:paraId="5CF7C22C" w14:textId="77777777" w:rsidR="00B66E0D" w:rsidRPr="00B47608" w:rsidRDefault="00B66E0D"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Prodotti e servizi per le costruzioni</w:t>
            </w:r>
          </w:p>
        </w:tc>
        <w:tc>
          <w:tcPr>
            <w:tcW w:w="462" w:type="pct"/>
            <w:shd w:val="clear" w:color="auto" w:fill="auto"/>
            <w:noWrap/>
            <w:vAlign w:val="bottom"/>
            <w:hideMark/>
          </w:tcPr>
          <w:p w14:paraId="27E10A53" w14:textId="77777777" w:rsidR="00B66E0D" w:rsidRPr="00B47608" w:rsidRDefault="00B66E0D"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4</w:t>
            </w:r>
          </w:p>
        </w:tc>
        <w:tc>
          <w:tcPr>
            <w:tcW w:w="462" w:type="pct"/>
            <w:shd w:val="clear" w:color="auto" w:fill="auto"/>
            <w:noWrap/>
            <w:vAlign w:val="bottom"/>
            <w:hideMark/>
          </w:tcPr>
          <w:p w14:paraId="7F55D1B0" w14:textId="77777777" w:rsidR="00B66E0D" w:rsidRPr="00B47608" w:rsidRDefault="00B66E0D"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6</w:t>
            </w:r>
          </w:p>
        </w:tc>
        <w:tc>
          <w:tcPr>
            <w:tcW w:w="462" w:type="pct"/>
            <w:shd w:val="clear" w:color="auto" w:fill="auto"/>
            <w:noWrap/>
            <w:vAlign w:val="bottom"/>
            <w:hideMark/>
          </w:tcPr>
          <w:p w14:paraId="1A5A4E57" w14:textId="77777777" w:rsidR="00B66E0D" w:rsidRPr="00B47608" w:rsidRDefault="00B66E0D"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w:t>
            </w:r>
          </w:p>
        </w:tc>
        <w:tc>
          <w:tcPr>
            <w:tcW w:w="462" w:type="pct"/>
            <w:shd w:val="clear" w:color="auto" w:fill="auto"/>
            <w:noWrap/>
            <w:vAlign w:val="bottom"/>
            <w:hideMark/>
          </w:tcPr>
          <w:p w14:paraId="157C2DC2" w14:textId="77777777" w:rsidR="00B66E0D" w:rsidRPr="00B47608" w:rsidRDefault="00B66E0D"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w:t>
            </w:r>
          </w:p>
        </w:tc>
        <w:tc>
          <w:tcPr>
            <w:tcW w:w="462" w:type="pct"/>
            <w:shd w:val="clear" w:color="auto" w:fill="auto"/>
            <w:noWrap/>
            <w:vAlign w:val="bottom"/>
            <w:hideMark/>
          </w:tcPr>
          <w:p w14:paraId="57F43042" w14:textId="77777777" w:rsidR="00B66E0D" w:rsidRPr="00B47608" w:rsidRDefault="00B66E0D"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w:t>
            </w:r>
          </w:p>
        </w:tc>
        <w:tc>
          <w:tcPr>
            <w:tcW w:w="462" w:type="pct"/>
            <w:shd w:val="clear" w:color="auto" w:fill="auto"/>
            <w:noWrap/>
            <w:vAlign w:val="bottom"/>
            <w:hideMark/>
          </w:tcPr>
          <w:p w14:paraId="4DEC4A70" w14:textId="77777777" w:rsidR="00B66E0D" w:rsidRPr="00B47608" w:rsidRDefault="00B66E0D" w:rsidP="00ED2A57">
            <w:pPr>
              <w:spacing w:after="0" w:line="240" w:lineRule="auto"/>
              <w:jc w:val="center"/>
              <w:rPr>
                <w:rFonts w:eastAsia="Times New Roman" w:cs="Calibri"/>
                <w:color w:val="000000"/>
                <w:kern w:val="0"/>
                <w:lang w:eastAsia="it-IT"/>
                <w14:ligatures w14:val="none"/>
              </w:rPr>
            </w:pPr>
          </w:p>
        </w:tc>
        <w:tc>
          <w:tcPr>
            <w:tcW w:w="462" w:type="pct"/>
            <w:shd w:val="clear" w:color="auto" w:fill="auto"/>
            <w:noWrap/>
            <w:vAlign w:val="bottom"/>
            <w:hideMark/>
          </w:tcPr>
          <w:p w14:paraId="7CF08B31" w14:textId="77777777" w:rsidR="00B66E0D" w:rsidRPr="00B47608" w:rsidRDefault="00B66E0D"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14</w:t>
            </w:r>
          </w:p>
        </w:tc>
      </w:tr>
      <w:tr w:rsidR="004F6DA8" w:rsidRPr="00B47608" w14:paraId="5374A28D" w14:textId="77777777" w:rsidTr="00680DED">
        <w:trPr>
          <w:trHeight w:val="288"/>
        </w:trPr>
        <w:tc>
          <w:tcPr>
            <w:tcW w:w="1764" w:type="pct"/>
            <w:shd w:val="clear" w:color="auto" w:fill="auto"/>
            <w:noWrap/>
            <w:vAlign w:val="bottom"/>
            <w:hideMark/>
          </w:tcPr>
          <w:p w14:paraId="5AB81636" w14:textId="77777777" w:rsidR="00B66E0D" w:rsidRPr="00B47608" w:rsidRDefault="00B66E0D"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Sistema moda e tessili</w:t>
            </w:r>
          </w:p>
        </w:tc>
        <w:tc>
          <w:tcPr>
            <w:tcW w:w="462" w:type="pct"/>
            <w:shd w:val="clear" w:color="auto" w:fill="auto"/>
            <w:noWrap/>
            <w:vAlign w:val="bottom"/>
            <w:hideMark/>
          </w:tcPr>
          <w:p w14:paraId="63390C27" w14:textId="77777777" w:rsidR="00B66E0D" w:rsidRPr="00B47608" w:rsidRDefault="00B66E0D"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w:t>
            </w:r>
          </w:p>
        </w:tc>
        <w:tc>
          <w:tcPr>
            <w:tcW w:w="462" w:type="pct"/>
            <w:shd w:val="clear" w:color="auto" w:fill="auto"/>
            <w:noWrap/>
            <w:vAlign w:val="bottom"/>
            <w:hideMark/>
          </w:tcPr>
          <w:p w14:paraId="1E941BA5" w14:textId="77777777" w:rsidR="00B66E0D" w:rsidRPr="00B47608" w:rsidRDefault="00B66E0D"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w:t>
            </w:r>
          </w:p>
        </w:tc>
        <w:tc>
          <w:tcPr>
            <w:tcW w:w="462" w:type="pct"/>
            <w:shd w:val="clear" w:color="auto" w:fill="auto"/>
            <w:noWrap/>
            <w:vAlign w:val="bottom"/>
            <w:hideMark/>
          </w:tcPr>
          <w:p w14:paraId="32F55CDD" w14:textId="77777777" w:rsidR="00B66E0D" w:rsidRPr="00B47608" w:rsidRDefault="00B66E0D"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13</w:t>
            </w:r>
          </w:p>
        </w:tc>
        <w:tc>
          <w:tcPr>
            <w:tcW w:w="462" w:type="pct"/>
            <w:shd w:val="clear" w:color="auto" w:fill="auto"/>
            <w:noWrap/>
            <w:vAlign w:val="bottom"/>
            <w:hideMark/>
          </w:tcPr>
          <w:p w14:paraId="09F84E8C" w14:textId="77777777" w:rsidR="00B66E0D" w:rsidRPr="00B47608" w:rsidRDefault="00B66E0D"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5</w:t>
            </w:r>
          </w:p>
        </w:tc>
        <w:tc>
          <w:tcPr>
            <w:tcW w:w="462" w:type="pct"/>
            <w:shd w:val="clear" w:color="auto" w:fill="auto"/>
            <w:noWrap/>
            <w:vAlign w:val="bottom"/>
            <w:hideMark/>
          </w:tcPr>
          <w:p w14:paraId="15EA168C" w14:textId="77777777" w:rsidR="00B66E0D" w:rsidRPr="00B47608" w:rsidRDefault="00B66E0D"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w:t>
            </w:r>
          </w:p>
        </w:tc>
        <w:tc>
          <w:tcPr>
            <w:tcW w:w="462" w:type="pct"/>
            <w:shd w:val="clear" w:color="auto" w:fill="auto"/>
            <w:noWrap/>
            <w:vAlign w:val="bottom"/>
            <w:hideMark/>
          </w:tcPr>
          <w:p w14:paraId="506FA97D" w14:textId="77777777" w:rsidR="00B66E0D" w:rsidRPr="00B47608" w:rsidRDefault="00B66E0D" w:rsidP="00ED2A57">
            <w:pPr>
              <w:spacing w:after="0" w:line="240" w:lineRule="auto"/>
              <w:jc w:val="center"/>
              <w:rPr>
                <w:rFonts w:eastAsia="Times New Roman" w:cs="Calibri"/>
                <w:color w:val="000000"/>
                <w:kern w:val="0"/>
                <w:lang w:eastAsia="it-IT"/>
                <w14:ligatures w14:val="none"/>
              </w:rPr>
            </w:pPr>
          </w:p>
        </w:tc>
        <w:tc>
          <w:tcPr>
            <w:tcW w:w="462" w:type="pct"/>
            <w:shd w:val="clear" w:color="auto" w:fill="auto"/>
            <w:noWrap/>
            <w:vAlign w:val="bottom"/>
            <w:hideMark/>
          </w:tcPr>
          <w:p w14:paraId="66C5F5D4" w14:textId="77777777" w:rsidR="00B66E0D" w:rsidRPr="00B47608" w:rsidRDefault="00B66E0D"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32</w:t>
            </w:r>
          </w:p>
        </w:tc>
      </w:tr>
      <w:tr w:rsidR="004F6DA8" w:rsidRPr="00B47608" w14:paraId="3D8C2BBA" w14:textId="77777777" w:rsidTr="00680DED">
        <w:trPr>
          <w:trHeight w:val="288"/>
        </w:trPr>
        <w:tc>
          <w:tcPr>
            <w:tcW w:w="1764" w:type="pct"/>
            <w:shd w:val="clear" w:color="auto" w:fill="auto"/>
            <w:noWrap/>
            <w:vAlign w:val="bottom"/>
            <w:hideMark/>
          </w:tcPr>
          <w:p w14:paraId="3C8CE193" w14:textId="11DCDD42" w:rsidR="00B66E0D" w:rsidRPr="00B47608" w:rsidRDefault="00B66E0D" w:rsidP="00ED2A57">
            <w:pPr>
              <w:spacing w:after="0" w:line="240" w:lineRule="auto"/>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 xml:space="preserve">Totale </w:t>
            </w:r>
          </w:p>
        </w:tc>
        <w:tc>
          <w:tcPr>
            <w:tcW w:w="462" w:type="pct"/>
            <w:shd w:val="clear" w:color="auto" w:fill="auto"/>
            <w:noWrap/>
            <w:vAlign w:val="bottom"/>
            <w:hideMark/>
          </w:tcPr>
          <w:p w14:paraId="03B6A2E4" w14:textId="77777777" w:rsidR="00B66E0D" w:rsidRPr="00B47608" w:rsidRDefault="00B66E0D"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42</w:t>
            </w:r>
          </w:p>
        </w:tc>
        <w:tc>
          <w:tcPr>
            <w:tcW w:w="462" w:type="pct"/>
            <w:shd w:val="clear" w:color="auto" w:fill="auto"/>
            <w:noWrap/>
            <w:vAlign w:val="bottom"/>
            <w:hideMark/>
          </w:tcPr>
          <w:p w14:paraId="1093BA2E" w14:textId="77777777" w:rsidR="00B66E0D" w:rsidRPr="00B47608" w:rsidRDefault="00B66E0D"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175</w:t>
            </w:r>
          </w:p>
        </w:tc>
        <w:tc>
          <w:tcPr>
            <w:tcW w:w="462" w:type="pct"/>
            <w:shd w:val="clear" w:color="auto" w:fill="auto"/>
            <w:noWrap/>
            <w:vAlign w:val="bottom"/>
            <w:hideMark/>
          </w:tcPr>
          <w:p w14:paraId="0E5A36C7" w14:textId="77777777" w:rsidR="00B66E0D" w:rsidRPr="00B47608" w:rsidRDefault="00B66E0D"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121</w:t>
            </w:r>
          </w:p>
        </w:tc>
        <w:tc>
          <w:tcPr>
            <w:tcW w:w="462" w:type="pct"/>
            <w:shd w:val="clear" w:color="auto" w:fill="auto"/>
            <w:noWrap/>
            <w:vAlign w:val="bottom"/>
            <w:hideMark/>
          </w:tcPr>
          <w:p w14:paraId="35F42F62" w14:textId="77777777" w:rsidR="00B66E0D" w:rsidRPr="00B47608" w:rsidRDefault="00B66E0D"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73</w:t>
            </w:r>
          </w:p>
        </w:tc>
        <w:tc>
          <w:tcPr>
            <w:tcW w:w="462" w:type="pct"/>
            <w:shd w:val="clear" w:color="auto" w:fill="auto"/>
            <w:noWrap/>
            <w:vAlign w:val="bottom"/>
            <w:hideMark/>
          </w:tcPr>
          <w:p w14:paraId="73CA9A31" w14:textId="77777777" w:rsidR="00B66E0D" w:rsidRPr="00B47608" w:rsidRDefault="00B66E0D"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76</w:t>
            </w:r>
          </w:p>
        </w:tc>
        <w:tc>
          <w:tcPr>
            <w:tcW w:w="462" w:type="pct"/>
            <w:shd w:val="clear" w:color="auto" w:fill="auto"/>
            <w:noWrap/>
            <w:vAlign w:val="bottom"/>
            <w:hideMark/>
          </w:tcPr>
          <w:p w14:paraId="3E8A309A" w14:textId="77777777" w:rsidR="00B66E0D" w:rsidRPr="00B47608" w:rsidRDefault="00B66E0D"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2</w:t>
            </w:r>
          </w:p>
        </w:tc>
        <w:tc>
          <w:tcPr>
            <w:tcW w:w="462" w:type="pct"/>
            <w:shd w:val="clear" w:color="auto" w:fill="auto"/>
            <w:noWrap/>
            <w:vAlign w:val="bottom"/>
            <w:hideMark/>
          </w:tcPr>
          <w:p w14:paraId="567765E0" w14:textId="77777777" w:rsidR="00B66E0D" w:rsidRPr="00B47608" w:rsidRDefault="00B66E0D"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489</w:t>
            </w:r>
          </w:p>
        </w:tc>
      </w:tr>
    </w:tbl>
    <w:p w14:paraId="1346C6B4" w14:textId="77777777" w:rsidR="004F6DA8" w:rsidRPr="00B47608" w:rsidRDefault="004F6DA8" w:rsidP="00ED2A57">
      <w:pPr>
        <w:spacing w:after="0"/>
        <w:jc w:val="both"/>
      </w:pPr>
      <w:r w:rsidRPr="00B47608">
        <w:t>*Valori assoluti non pesati.</w:t>
      </w:r>
    </w:p>
    <w:p w14:paraId="43F441D7" w14:textId="77777777" w:rsidR="00B66E0D" w:rsidRPr="00B47608" w:rsidRDefault="00B66E0D" w:rsidP="00ED2A57">
      <w:pPr>
        <w:spacing w:after="0"/>
        <w:jc w:val="both"/>
      </w:pPr>
    </w:p>
    <w:p w14:paraId="0A6148BF" w14:textId="77777777" w:rsidR="0037365D" w:rsidRPr="00B47608" w:rsidRDefault="0037365D" w:rsidP="00ED2A57">
      <w:pPr>
        <w:spacing w:after="0"/>
        <w:jc w:val="both"/>
      </w:pPr>
    </w:p>
    <w:p w14:paraId="39FB6189" w14:textId="4600785B" w:rsidR="000E0CF2" w:rsidRDefault="00350F9D" w:rsidP="00ED2A57">
      <w:pPr>
        <w:spacing w:after="0"/>
        <w:jc w:val="both"/>
      </w:pPr>
      <w:r w:rsidRPr="00B47608">
        <w:t xml:space="preserve">I settori sono stati riaggregati in due </w:t>
      </w:r>
      <w:r w:rsidR="00DE6434" w:rsidRPr="00B47608">
        <w:t>macrosettori</w:t>
      </w:r>
      <w:r w:rsidRPr="00B47608">
        <w:t>, Metalmeccanica e Altr</w:t>
      </w:r>
      <w:r w:rsidR="0020415D" w:rsidRPr="00B47608">
        <w:t>i</w:t>
      </w:r>
      <w:r w:rsidRPr="00B47608">
        <w:t xml:space="preserve"> settor</w:t>
      </w:r>
      <w:r w:rsidR="0020415D" w:rsidRPr="00B47608">
        <w:t>i</w:t>
      </w:r>
      <w:r w:rsidRPr="00B47608">
        <w:t xml:space="preserve">. </w:t>
      </w:r>
    </w:p>
    <w:p w14:paraId="1B161CB1" w14:textId="77777777" w:rsidR="000E0CF2" w:rsidRDefault="000E0CF2">
      <w:r>
        <w:br w:type="page"/>
      </w:r>
    </w:p>
    <w:p w14:paraId="4AE81F2A" w14:textId="77777777" w:rsidR="00350F9D" w:rsidRPr="00B47608" w:rsidRDefault="00350F9D" w:rsidP="00ED2A57">
      <w:pPr>
        <w:spacing w:after="0"/>
        <w:jc w:val="both"/>
      </w:pPr>
    </w:p>
    <w:p w14:paraId="091583A0" w14:textId="77777777" w:rsidR="00A977D1" w:rsidRPr="00B47608" w:rsidRDefault="00A977D1" w:rsidP="00ED2A57">
      <w:pPr>
        <w:spacing w:after="0"/>
        <w:jc w:val="both"/>
      </w:pPr>
    </w:p>
    <w:p w14:paraId="7AAEF69D" w14:textId="0C980931" w:rsidR="00DE6434" w:rsidRPr="00B47608" w:rsidRDefault="00DE6434" w:rsidP="00ED2A57">
      <w:pPr>
        <w:spacing w:after="0"/>
        <w:jc w:val="both"/>
        <w:rPr>
          <w:b/>
          <w:bCs/>
        </w:rPr>
      </w:pPr>
      <w:r w:rsidRPr="00B47608">
        <w:rPr>
          <w:b/>
          <w:bCs/>
        </w:rPr>
        <w:t xml:space="preserve">NM 3 </w:t>
      </w:r>
      <w:r w:rsidR="008A5891" w:rsidRPr="00B47608">
        <w:rPr>
          <w:b/>
          <w:bCs/>
        </w:rPr>
        <w:t>–</w:t>
      </w:r>
      <w:r w:rsidRPr="00B47608">
        <w:rPr>
          <w:b/>
          <w:bCs/>
        </w:rPr>
        <w:t xml:space="preserve"> </w:t>
      </w:r>
      <w:r w:rsidR="008A5891" w:rsidRPr="00B47608">
        <w:rPr>
          <w:b/>
          <w:bCs/>
        </w:rPr>
        <w:t xml:space="preserve">Numero di imprese </w:t>
      </w:r>
      <w:r w:rsidR="00C40B5F" w:rsidRPr="00B47608">
        <w:rPr>
          <w:b/>
          <w:bCs/>
        </w:rPr>
        <w:t xml:space="preserve">internazionalizzate partecipanti alla rilevazione </w:t>
      </w:r>
      <w:r w:rsidR="008A5891" w:rsidRPr="00B47608">
        <w:rPr>
          <w:b/>
          <w:bCs/>
        </w:rPr>
        <w:t>per macrosettore e classe dimensionale*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79"/>
        <w:gridCol w:w="2350"/>
        <w:gridCol w:w="2350"/>
        <w:gridCol w:w="2349"/>
      </w:tblGrid>
      <w:tr w:rsidR="00DE6434" w:rsidRPr="00B47608" w14:paraId="059FF14A" w14:textId="77777777" w:rsidTr="00680DED">
        <w:trPr>
          <w:trHeight w:val="288"/>
        </w:trPr>
        <w:tc>
          <w:tcPr>
            <w:tcW w:w="1339" w:type="pct"/>
            <w:shd w:val="clear" w:color="auto" w:fill="auto"/>
            <w:noWrap/>
            <w:vAlign w:val="bottom"/>
            <w:hideMark/>
          </w:tcPr>
          <w:p w14:paraId="1C9C46F8" w14:textId="5EF78BE6" w:rsidR="00DE6434" w:rsidRPr="00B47608" w:rsidRDefault="00DE6434" w:rsidP="00ED2A57">
            <w:pPr>
              <w:spacing w:after="0" w:line="240" w:lineRule="auto"/>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Macrosettore</w:t>
            </w:r>
          </w:p>
        </w:tc>
        <w:tc>
          <w:tcPr>
            <w:tcW w:w="1220" w:type="pct"/>
            <w:shd w:val="clear" w:color="auto" w:fill="auto"/>
            <w:noWrap/>
            <w:vAlign w:val="bottom"/>
            <w:hideMark/>
          </w:tcPr>
          <w:p w14:paraId="325B4FEB" w14:textId="319A9187" w:rsidR="00DE6434" w:rsidRPr="00B47608" w:rsidRDefault="00DE6434"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Meno di 50</w:t>
            </w:r>
          </w:p>
        </w:tc>
        <w:tc>
          <w:tcPr>
            <w:tcW w:w="1220" w:type="pct"/>
            <w:shd w:val="clear" w:color="auto" w:fill="auto"/>
            <w:noWrap/>
            <w:vAlign w:val="bottom"/>
            <w:hideMark/>
          </w:tcPr>
          <w:p w14:paraId="7415AA35" w14:textId="1A88CFD3" w:rsidR="00DE6434" w:rsidRPr="00B47608" w:rsidRDefault="00DE6434"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50 e più</w:t>
            </w:r>
          </w:p>
        </w:tc>
        <w:tc>
          <w:tcPr>
            <w:tcW w:w="1220" w:type="pct"/>
            <w:shd w:val="clear" w:color="auto" w:fill="auto"/>
            <w:noWrap/>
            <w:vAlign w:val="bottom"/>
            <w:hideMark/>
          </w:tcPr>
          <w:p w14:paraId="7E2FAA29" w14:textId="43B14440" w:rsidR="00DE6434" w:rsidRPr="00B47608" w:rsidRDefault="00DE6434"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 xml:space="preserve">Totale </w:t>
            </w:r>
          </w:p>
        </w:tc>
      </w:tr>
      <w:tr w:rsidR="00DE6434" w:rsidRPr="00B47608" w14:paraId="690DA5CB" w14:textId="77777777" w:rsidTr="00680DED">
        <w:trPr>
          <w:trHeight w:val="288"/>
        </w:trPr>
        <w:tc>
          <w:tcPr>
            <w:tcW w:w="1339" w:type="pct"/>
            <w:shd w:val="clear" w:color="auto" w:fill="auto"/>
            <w:noWrap/>
            <w:vAlign w:val="bottom"/>
            <w:hideMark/>
          </w:tcPr>
          <w:p w14:paraId="63F86A3D" w14:textId="77777777" w:rsidR="00DE6434" w:rsidRPr="00B47608" w:rsidRDefault="00DE6434"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Altri settori</w:t>
            </w:r>
          </w:p>
        </w:tc>
        <w:tc>
          <w:tcPr>
            <w:tcW w:w="1220" w:type="pct"/>
            <w:shd w:val="clear" w:color="auto" w:fill="auto"/>
            <w:noWrap/>
            <w:vAlign w:val="bottom"/>
            <w:hideMark/>
          </w:tcPr>
          <w:p w14:paraId="4C109581" w14:textId="77777777" w:rsidR="00DE6434" w:rsidRPr="00B47608" w:rsidRDefault="00DE6434"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163</w:t>
            </w:r>
          </w:p>
        </w:tc>
        <w:tc>
          <w:tcPr>
            <w:tcW w:w="1220" w:type="pct"/>
            <w:shd w:val="clear" w:color="auto" w:fill="auto"/>
            <w:noWrap/>
            <w:vAlign w:val="bottom"/>
            <w:hideMark/>
          </w:tcPr>
          <w:p w14:paraId="33444C8E" w14:textId="77777777" w:rsidR="00DE6434" w:rsidRPr="00B47608" w:rsidRDefault="00DE6434"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123</w:t>
            </w:r>
          </w:p>
        </w:tc>
        <w:tc>
          <w:tcPr>
            <w:tcW w:w="1220" w:type="pct"/>
            <w:shd w:val="clear" w:color="auto" w:fill="auto"/>
            <w:noWrap/>
            <w:vAlign w:val="bottom"/>
            <w:hideMark/>
          </w:tcPr>
          <w:p w14:paraId="5E39C37E" w14:textId="77777777" w:rsidR="00DE6434" w:rsidRPr="00B47608" w:rsidRDefault="00DE6434"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286</w:t>
            </w:r>
          </w:p>
        </w:tc>
      </w:tr>
      <w:tr w:rsidR="00DE6434" w:rsidRPr="00B47608" w14:paraId="0090E47B" w14:textId="77777777" w:rsidTr="00680DED">
        <w:trPr>
          <w:trHeight w:val="288"/>
        </w:trPr>
        <w:tc>
          <w:tcPr>
            <w:tcW w:w="1339" w:type="pct"/>
            <w:shd w:val="clear" w:color="auto" w:fill="auto"/>
            <w:noWrap/>
            <w:vAlign w:val="bottom"/>
            <w:hideMark/>
          </w:tcPr>
          <w:p w14:paraId="4B9E4199" w14:textId="77777777" w:rsidR="00DE6434" w:rsidRPr="00B47608" w:rsidRDefault="00DE6434"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Metalmeccanica</w:t>
            </w:r>
          </w:p>
        </w:tc>
        <w:tc>
          <w:tcPr>
            <w:tcW w:w="1220" w:type="pct"/>
            <w:shd w:val="clear" w:color="auto" w:fill="auto"/>
            <w:noWrap/>
            <w:vAlign w:val="bottom"/>
            <w:hideMark/>
          </w:tcPr>
          <w:p w14:paraId="11477728" w14:textId="77777777" w:rsidR="00DE6434" w:rsidRPr="00B47608" w:rsidRDefault="00DE6434"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94</w:t>
            </w:r>
          </w:p>
        </w:tc>
        <w:tc>
          <w:tcPr>
            <w:tcW w:w="1220" w:type="pct"/>
            <w:shd w:val="clear" w:color="auto" w:fill="auto"/>
            <w:noWrap/>
            <w:vAlign w:val="bottom"/>
            <w:hideMark/>
          </w:tcPr>
          <w:p w14:paraId="7DB2F492" w14:textId="77777777" w:rsidR="00DE6434" w:rsidRPr="00B47608" w:rsidRDefault="00DE6434"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109</w:t>
            </w:r>
          </w:p>
        </w:tc>
        <w:tc>
          <w:tcPr>
            <w:tcW w:w="1220" w:type="pct"/>
            <w:shd w:val="clear" w:color="auto" w:fill="auto"/>
            <w:noWrap/>
            <w:vAlign w:val="bottom"/>
            <w:hideMark/>
          </w:tcPr>
          <w:p w14:paraId="555D8A56" w14:textId="77777777" w:rsidR="00DE6434" w:rsidRPr="00B47608" w:rsidRDefault="00DE6434"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203</w:t>
            </w:r>
          </w:p>
        </w:tc>
      </w:tr>
      <w:tr w:rsidR="00DE6434" w:rsidRPr="00B47608" w14:paraId="016C01FC" w14:textId="77777777" w:rsidTr="00680DED">
        <w:trPr>
          <w:trHeight w:val="288"/>
        </w:trPr>
        <w:tc>
          <w:tcPr>
            <w:tcW w:w="1339" w:type="pct"/>
            <w:shd w:val="clear" w:color="auto" w:fill="auto"/>
            <w:noWrap/>
            <w:vAlign w:val="bottom"/>
            <w:hideMark/>
          </w:tcPr>
          <w:p w14:paraId="5199F0FD" w14:textId="22BA9ADF" w:rsidR="00DE6434" w:rsidRPr="00B47608" w:rsidRDefault="00DE6434" w:rsidP="00ED2A57">
            <w:pPr>
              <w:spacing w:after="0" w:line="240" w:lineRule="auto"/>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 xml:space="preserve">Totale </w:t>
            </w:r>
          </w:p>
        </w:tc>
        <w:tc>
          <w:tcPr>
            <w:tcW w:w="1220" w:type="pct"/>
            <w:shd w:val="clear" w:color="auto" w:fill="auto"/>
            <w:noWrap/>
            <w:vAlign w:val="bottom"/>
            <w:hideMark/>
          </w:tcPr>
          <w:p w14:paraId="19BEFD7E" w14:textId="77777777" w:rsidR="00DE6434" w:rsidRPr="00B47608" w:rsidRDefault="00DE6434"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257</w:t>
            </w:r>
          </w:p>
        </w:tc>
        <w:tc>
          <w:tcPr>
            <w:tcW w:w="1220" w:type="pct"/>
            <w:shd w:val="clear" w:color="auto" w:fill="auto"/>
            <w:noWrap/>
            <w:vAlign w:val="bottom"/>
            <w:hideMark/>
          </w:tcPr>
          <w:p w14:paraId="4F0F9913" w14:textId="77777777" w:rsidR="00DE6434" w:rsidRPr="00B47608" w:rsidRDefault="00DE6434"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232</w:t>
            </w:r>
          </w:p>
        </w:tc>
        <w:tc>
          <w:tcPr>
            <w:tcW w:w="1220" w:type="pct"/>
            <w:shd w:val="clear" w:color="auto" w:fill="auto"/>
            <w:noWrap/>
            <w:vAlign w:val="bottom"/>
            <w:hideMark/>
          </w:tcPr>
          <w:p w14:paraId="247040A0" w14:textId="77777777" w:rsidR="00DE6434" w:rsidRPr="00B47608" w:rsidRDefault="00DE6434"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489</w:t>
            </w:r>
          </w:p>
        </w:tc>
      </w:tr>
    </w:tbl>
    <w:p w14:paraId="5A5F8451" w14:textId="77777777" w:rsidR="008A5891" w:rsidRPr="00B47608" w:rsidRDefault="008A5891" w:rsidP="00ED2A57">
      <w:pPr>
        <w:spacing w:after="0"/>
        <w:jc w:val="both"/>
      </w:pPr>
      <w:r w:rsidRPr="00B47608">
        <w:t>*Valori assoluti non pesati.</w:t>
      </w:r>
    </w:p>
    <w:p w14:paraId="1FD851EC" w14:textId="77777777" w:rsidR="00DE6434" w:rsidRPr="00B47608" w:rsidRDefault="00DE6434" w:rsidP="00ED2A57">
      <w:pPr>
        <w:spacing w:after="0"/>
        <w:jc w:val="both"/>
      </w:pPr>
    </w:p>
    <w:p w14:paraId="54D7B8A3" w14:textId="2CEE608B" w:rsidR="006262EF" w:rsidRPr="00B47608" w:rsidRDefault="006262EF" w:rsidP="00ED2A57">
      <w:pPr>
        <w:spacing w:after="0"/>
        <w:jc w:val="both"/>
      </w:pPr>
      <w:r w:rsidRPr="00B47608">
        <w:t>Le risposte delle aziende partecipanti al sondaggio sono state poi riportate all’Universo delle imprese iscritte a Confindustria Veneto Est attraverso un meccanismo di ponderazione</w:t>
      </w:r>
      <w:r w:rsidR="00612203" w:rsidRPr="00B47608">
        <w:t xml:space="preserve"> che ha tenuto conto anche delle 150 imprese </w:t>
      </w:r>
      <w:r w:rsidR="003E5BF4" w:rsidRPr="00B47608">
        <w:t>che hanno partecipato alla rilevazione ma che non sono risultate internazionalizzate secondo i parametri fissati</w:t>
      </w:r>
      <w:r w:rsidRPr="00B47608">
        <w:t xml:space="preserve">. </w:t>
      </w:r>
    </w:p>
    <w:p w14:paraId="33CB80E0" w14:textId="77777777" w:rsidR="00BE4D0C" w:rsidRPr="00B47608" w:rsidRDefault="00BE4D0C" w:rsidP="00ED2A57">
      <w:pPr>
        <w:spacing w:after="0"/>
        <w:jc w:val="both"/>
      </w:pPr>
    </w:p>
    <w:p w14:paraId="719296B1" w14:textId="77777777" w:rsidR="00747D26" w:rsidRPr="00B47608" w:rsidRDefault="00747D26" w:rsidP="00ED2A57">
      <w:pPr>
        <w:spacing w:after="0"/>
        <w:jc w:val="both"/>
      </w:pPr>
    </w:p>
    <w:p w14:paraId="49690DD2" w14:textId="7D2AFB37" w:rsidR="006262EF" w:rsidRPr="00B47608" w:rsidRDefault="006262EF" w:rsidP="00ED2A57">
      <w:pPr>
        <w:spacing w:after="0"/>
        <w:jc w:val="both"/>
        <w:rPr>
          <w:b/>
          <w:bCs/>
        </w:rPr>
      </w:pPr>
      <w:r w:rsidRPr="00B47608">
        <w:rPr>
          <w:b/>
          <w:bCs/>
        </w:rPr>
        <w:t xml:space="preserve">NM 4 – Numero di imprese </w:t>
      </w:r>
      <w:r w:rsidR="00C77E87" w:rsidRPr="00B47608">
        <w:rPr>
          <w:b/>
          <w:bCs/>
        </w:rPr>
        <w:t xml:space="preserve">internazionalizzate </w:t>
      </w:r>
      <w:r w:rsidRPr="00B47608">
        <w:rPr>
          <w:b/>
          <w:bCs/>
        </w:rPr>
        <w:t>per macrosettore e classe dimensionale</w:t>
      </w:r>
      <w:r w:rsidR="00612203" w:rsidRPr="00B47608">
        <w:rPr>
          <w:b/>
          <w:bCs/>
        </w:rPr>
        <w:t xml:space="preserve"> – valori pesati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81"/>
        <w:gridCol w:w="2349"/>
        <w:gridCol w:w="2349"/>
        <w:gridCol w:w="2349"/>
      </w:tblGrid>
      <w:tr w:rsidR="006E3C0D" w:rsidRPr="00B47608" w14:paraId="5DA0C71A" w14:textId="77777777" w:rsidTr="00680DED">
        <w:trPr>
          <w:trHeight w:val="288"/>
        </w:trPr>
        <w:tc>
          <w:tcPr>
            <w:tcW w:w="1340" w:type="pct"/>
            <w:shd w:val="clear" w:color="auto" w:fill="auto"/>
            <w:noWrap/>
            <w:vAlign w:val="bottom"/>
            <w:hideMark/>
          </w:tcPr>
          <w:p w14:paraId="671C1BFF" w14:textId="77777777" w:rsidR="009614D9" w:rsidRPr="00B47608" w:rsidRDefault="009614D9" w:rsidP="00ED2A57">
            <w:pPr>
              <w:spacing w:after="0" w:line="240" w:lineRule="auto"/>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Etichette di riga</w:t>
            </w:r>
          </w:p>
        </w:tc>
        <w:tc>
          <w:tcPr>
            <w:tcW w:w="1220" w:type="pct"/>
            <w:shd w:val="clear" w:color="auto" w:fill="auto"/>
            <w:noWrap/>
            <w:vAlign w:val="bottom"/>
            <w:hideMark/>
          </w:tcPr>
          <w:p w14:paraId="3C6AF668" w14:textId="59531500" w:rsidR="009614D9" w:rsidRPr="00B47608" w:rsidRDefault="009614D9"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Meno di 50</w:t>
            </w:r>
          </w:p>
        </w:tc>
        <w:tc>
          <w:tcPr>
            <w:tcW w:w="1220" w:type="pct"/>
            <w:shd w:val="clear" w:color="auto" w:fill="auto"/>
            <w:noWrap/>
            <w:vAlign w:val="bottom"/>
            <w:hideMark/>
          </w:tcPr>
          <w:p w14:paraId="6E7BB56A" w14:textId="7CE6C376" w:rsidR="009614D9" w:rsidRPr="00B47608" w:rsidRDefault="009614D9"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50 e più</w:t>
            </w:r>
          </w:p>
        </w:tc>
        <w:tc>
          <w:tcPr>
            <w:tcW w:w="1220" w:type="pct"/>
            <w:shd w:val="clear" w:color="auto" w:fill="auto"/>
            <w:noWrap/>
            <w:vAlign w:val="bottom"/>
            <w:hideMark/>
          </w:tcPr>
          <w:p w14:paraId="1AEBA835" w14:textId="416F52E4" w:rsidR="009614D9" w:rsidRPr="00B47608" w:rsidRDefault="009614D9"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 xml:space="preserve">Totale </w:t>
            </w:r>
          </w:p>
        </w:tc>
      </w:tr>
      <w:tr w:rsidR="009614D9" w:rsidRPr="00B47608" w14:paraId="66F19B15" w14:textId="77777777" w:rsidTr="00680DED">
        <w:trPr>
          <w:trHeight w:val="288"/>
        </w:trPr>
        <w:tc>
          <w:tcPr>
            <w:tcW w:w="1340" w:type="pct"/>
            <w:shd w:val="clear" w:color="auto" w:fill="auto"/>
            <w:noWrap/>
            <w:vAlign w:val="bottom"/>
            <w:hideMark/>
          </w:tcPr>
          <w:p w14:paraId="7C032614" w14:textId="77777777" w:rsidR="009614D9" w:rsidRPr="00B47608" w:rsidRDefault="009614D9"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Altri settori</w:t>
            </w:r>
          </w:p>
        </w:tc>
        <w:tc>
          <w:tcPr>
            <w:tcW w:w="1220" w:type="pct"/>
            <w:shd w:val="clear" w:color="auto" w:fill="auto"/>
            <w:noWrap/>
            <w:vAlign w:val="bottom"/>
            <w:hideMark/>
          </w:tcPr>
          <w:p w14:paraId="1FD8D437" w14:textId="77777777" w:rsidR="009614D9" w:rsidRPr="00B47608" w:rsidRDefault="009614D9"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184</w:t>
            </w:r>
          </w:p>
        </w:tc>
        <w:tc>
          <w:tcPr>
            <w:tcW w:w="1220" w:type="pct"/>
            <w:shd w:val="clear" w:color="auto" w:fill="auto"/>
            <w:noWrap/>
            <w:vAlign w:val="bottom"/>
            <w:hideMark/>
          </w:tcPr>
          <w:p w14:paraId="5C51FAB3" w14:textId="77777777" w:rsidR="009614D9" w:rsidRPr="00B47608" w:rsidRDefault="009614D9"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89</w:t>
            </w:r>
          </w:p>
        </w:tc>
        <w:tc>
          <w:tcPr>
            <w:tcW w:w="1220" w:type="pct"/>
            <w:shd w:val="clear" w:color="auto" w:fill="auto"/>
            <w:noWrap/>
            <w:vAlign w:val="bottom"/>
            <w:hideMark/>
          </w:tcPr>
          <w:p w14:paraId="500B921F" w14:textId="77777777" w:rsidR="009614D9" w:rsidRPr="00B47608" w:rsidRDefault="009614D9"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273</w:t>
            </w:r>
          </w:p>
        </w:tc>
      </w:tr>
      <w:tr w:rsidR="009614D9" w:rsidRPr="00B47608" w14:paraId="3531B39F" w14:textId="77777777" w:rsidTr="00680DED">
        <w:trPr>
          <w:trHeight w:val="288"/>
        </w:trPr>
        <w:tc>
          <w:tcPr>
            <w:tcW w:w="1340" w:type="pct"/>
            <w:shd w:val="clear" w:color="auto" w:fill="auto"/>
            <w:noWrap/>
            <w:vAlign w:val="bottom"/>
            <w:hideMark/>
          </w:tcPr>
          <w:p w14:paraId="5DD75D14" w14:textId="77777777" w:rsidR="009614D9" w:rsidRPr="00B47608" w:rsidRDefault="009614D9" w:rsidP="00ED2A57">
            <w:pPr>
              <w:spacing w:after="0" w:line="240" w:lineRule="auto"/>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Metalmeccanica</w:t>
            </w:r>
          </w:p>
        </w:tc>
        <w:tc>
          <w:tcPr>
            <w:tcW w:w="1220" w:type="pct"/>
            <w:shd w:val="clear" w:color="auto" w:fill="auto"/>
            <w:noWrap/>
            <w:vAlign w:val="bottom"/>
            <w:hideMark/>
          </w:tcPr>
          <w:p w14:paraId="2A1AAA0C" w14:textId="77777777" w:rsidR="009614D9" w:rsidRPr="00B47608" w:rsidRDefault="009614D9"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112</w:t>
            </w:r>
          </w:p>
        </w:tc>
        <w:tc>
          <w:tcPr>
            <w:tcW w:w="1220" w:type="pct"/>
            <w:shd w:val="clear" w:color="auto" w:fill="auto"/>
            <w:noWrap/>
            <w:vAlign w:val="bottom"/>
            <w:hideMark/>
          </w:tcPr>
          <w:p w14:paraId="5BFA69C5" w14:textId="77777777" w:rsidR="009614D9" w:rsidRPr="00B47608" w:rsidRDefault="009614D9"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79</w:t>
            </w:r>
          </w:p>
        </w:tc>
        <w:tc>
          <w:tcPr>
            <w:tcW w:w="1220" w:type="pct"/>
            <w:shd w:val="clear" w:color="auto" w:fill="auto"/>
            <w:noWrap/>
            <w:vAlign w:val="bottom"/>
            <w:hideMark/>
          </w:tcPr>
          <w:p w14:paraId="30B89B7C" w14:textId="77777777" w:rsidR="009614D9" w:rsidRPr="00B47608" w:rsidRDefault="009614D9" w:rsidP="00ED2A57">
            <w:pPr>
              <w:spacing w:after="0" w:line="240" w:lineRule="auto"/>
              <w:jc w:val="center"/>
              <w:rPr>
                <w:rFonts w:eastAsia="Times New Roman" w:cs="Calibri"/>
                <w:color w:val="000000"/>
                <w:kern w:val="0"/>
                <w:lang w:eastAsia="it-IT"/>
                <w14:ligatures w14:val="none"/>
              </w:rPr>
            </w:pPr>
            <w:r w:rsidRPr="00B47608">
              <w:rPr>
                <w:rFonts w:eastAsia="Times New Roman" w:cs="Calibri"/>
                <w:color w:val="000000"/>
                <w:kern w:val="0"/>
                <w:lang w:eastAsia="it-IT"/>
                <w14:ligatures w14:val="none"/>
              </w:rPr>
              <w:t>191</w:t>
            </w:r>
          </w:p>
        </w:tc>
      </w:tr>
      <w:tr w:rsidR="009614D9" w:rsidRPr="00B47608" w14:paraId="186BA5FA" w14:textId="77777777" w:rsidTr="00680DED">
        <w:trPr>
          <w:trHeight w:val="288"/>
        </w:trPr>
        <w:tc>
          <w:tcPr>
            <w:tcW w:w="1340" w:type="pct"/>
            <w:shd w:val="clear" w:color="auto" w:fill="auto"/>
            <w:noWrap/>
            <w:vAlign w:val="bottom"/>
            <w:hideMark/>
          </w:tcPr>
          <w:p w14:paraId="4EC4B0DB" w14:textId="66CBD496" w:rsidR="009614D9" w:rsidRPr="00B47608" w:rsidRDefault="009614D9" w:rsidP="00ED2A57">
            <w:pPr>
              <w:spacing w:after="0" w:line="240" w:lineRule="auto"/>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 xml:space="preserve">Totale </w:t>
            </w:r>
          </w:p>
        </w:tc>
        <w:tc>
          <w:tcPr>
            <w:tcW w:w="1220" w:type="pct"/>
            <w:shd w:val="clear" w:color="auto" w:fill="auto"/>
            <w:noWrap/>
            <w:vAlign w:val="bottom"/>
            <w:hideMark/>
          </w:tcPr>
          <w:p w14:paraId="6AC19015" w14:textId="77777777" w:rsidR="009614D9" w:rsidRPr="00B47608" w:rsidRDefault="009614D9"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296</w:t>
            </w:r>
          </w:p>
        </w:tc>
        <w:tc>
          <w:tcPr>
            <w:tcW w:w="1220" w:type="pct"/>
            <w:shd w:val="clear" w:color="auto" w:fill="auto"/>
            <w:noWrap/>
            <w:vAlign w:val="bottom"/>
            <w:hideMark/>
          </w:tcPr>
          <w:p w14:paraId="1EC15D42" w14:textId="77777777" w:rsidR="009614D9" w:rsidRPr="00B47608" w:rsidRDefault="009614D9"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167</w:t>
            </w:r>
          </w:p>
        </w:tc>
        <w:tc>
          <w:tcPr>
            <w:tcW w:w="1220" w:type="pct"/>
            <w:shd w:val="clear" w:color="auto" w:fill="auto"/>
            <w:noWrap/>
            <w:vAlign w:val="bottom"/>
            <w:hideMark/>
          </w:tcPr>
          <w:p w14:paraId="7B236877" w14:textId="77777777" w:rsidR="009614D9" w:rsidRPr="00B47608" w:rsidRDefault="009614D9" w:rsidP="00ED2A57">
            <w:pPr>
              <w:spacing w:after="0" w:line="240" w:lineRule="auto"/>
              <w:jc w:val="center"/>
              <w:rPr>
                <w:rFonts w:eastAsia="Times New Roman" w:cs="Calibri"/>
                <w:b/>
                <w:bCs/>
                <w:color w:val="000000"/>
                <w:kern w:val="0"/>
                <w:lang w:eastAsia="it-IT"/>
                <w14:ligatures w14:val="none"/>
              </w:rPr>
            </w:pPr>
            <w:r w:rsidRPr="00B47608">
              <w:rPr>
                <w:rFonts w:eastAsia="Times New Roman" w:cs="Calibri"/>
                <w:b/>
                <w:bCs/>
                <w:color w:val="000000"/>
                <w:kern w:val="0"/>
                <w:lang w:eastAsia="it-IT"/>
                <w14:ligatures w14:val="none"/>
              </w:rPr>
              <w:t>463</w:t>
            </w:r>
          </w:p>
        </w:tc>
      </w:tr>
    </w:tbl>
    <w:p w14:paraId="77F66654" w14:textId="77777777" w:rsidR="009614D9" w:rsidRPr="00B47608" w:rsidRDefault="009614D9" w:rsidP="00ED2A57">
      <w:pPr>
        <w:spacing w:after="0"/>
        <w:jc w:val="both"/>
      </w:pPr>
    </w:p>
    <w:p w14:paraId="08D9803F" w14:textId="77777777" w:rsidR="004B32A9" w:rsidRDefault="004B32A9" w:rsidP="00ED2A57">
      <w:pPr>
        <w:spacing w:after="0" w:line="240" w:lineRule="auto"/>
        <w:jc w:val="both"/>
      </w:pPr>
    </w:p>
    <w:p w14:paraId="12EFF724" w14:textId="4879EF2E" w:rsidR="00D1616B" w:rsidRPr="00B47608" w:rsidRDefault="00D1616B" w:rsidP="00ED2A57">
      <w:pPr>
        <w:spacing w:after="0" w:line="240" w:lineRule="auto"/>
        <w:jc w:val="both"/>
      </w:pPr>
      <w:r w:rsidRPr="00B47608">
        <w:t xml:space="preserve">La raccolta dei dati è stata effettuata in collaborazione con la società </w:t>
      </w:r>
      <w:proofErr w:type="spellStart"/>
      <w:r w:rsidRPr="00B47608">
        <w:t>Questlab</w:t>
      </w:r>
      <w:proofErr w:type="spellEnd"/>
      <w:r w:rsidRPr="00B47608">
        <w:t xml:space="preserve"> S.r.l. di Venezia Mestre, utilizzando metodologia CAWI tra il </w:t>
      </w:r>
      <w:r w:rsidR="00DD5FB3" w:rsidRPr="004B32A9">
        <w:rPr>
          <w:b/>
          <w:bCs/>
        </w:rPr>
        <w:t>12</w:t>
      </w:r>
      <w:r w:rsidRPr="004B32A9">
        <w:rPr>
          <w:b/>
          <w:bCs/>
        </w:rPr>
        <w:t xml:space="preserve"> </w:t>
      </w:r>
      <w:r w:rsidR="00DD5FB3" w:rsidRPr="004B32A9">
        <w:rPr>
          <w:b/>
          <w:bCs/>
        </w:rPr>
        <w:t>novembre 2024</w:t>
      </w:r>
      <w:r w:rsidRPr="004B32A9">
        <w:rPr>
          <w:b/>
          <w:bCs/>
        </w:rPr>
        <w:t xml:space="preserve"> e il </w:t>
      </w:r>
      <w:r w:rsidR="00DD5FB3" w:rsidRPr="004B32A9">
        <w:rPr>
          <w:b/>
          <w:bCs/>
        </w:rPr>
        <w:t>5</w:t>
      </w:r>
      <w:r w:rsidRPr="004B32A9">
        <w:rPr>
          <w:b/>
          <w:bCs/>
        </w:rPr>
        <w:t xml:space="preserve"> </w:t>
      </w:r>
      <w:r w:rsidR="00DD5FB3" w:rsidRPr="004B32A9">
        <w:rPr>
          <w:b/>
          <w:bCs/>
        </w:rPr>
        <w:t>dicembre</w:t>
      </w:r>
      <w:r w:rsidRPr="004B32A9">
        <w:rPr>
          <w:b/>
          <w:bCs/>
        </w:rPr>
        <w:t xml:space="preserve"> 202</w:t>
      </w:r>
      <w:r w:rsidR="00DD5FB3" w:rsidRPr="004B32A9">
        <w:rPr>
          <w:b/>
          <w:bCs/>
        </w:rPr>
        <w:t>4</w:t>
      </w:r>
      <w:r w:rsidRPr="004B32A9">
        <w:rPr>
          <w:b/>
          <w:bCs/>
        </w:rPr>
        <w:t>.</w:t>
      </w:r>
    </w:p>
    <w:p w14:paraId="4ABEC09C" w14:textId="77777777" w:rsidR="00D1616B" w:rsidRPr="00B47608" w:rsidRDefault="00D1616B" w:rsidP="00ED2A57">
      <w:pPr>
        <w:spacing w:after="0"/>
        <w:jc w:val="both"/>
      </w:pPr>
    </w:p>
    <w:p w14:paraId="523BA6E1" w14:textId="77777777" w:rsidR="00DE35FB" w:rsidRPr="00B47608" w:rsidRDefault="00DE35FB" w:rsidP="00ED2A57">
      <w:pPr>
        <w:spacing w:after="0"/>
        <w:jc w:val="both"/>
      </w:pPr>
    </w:p>
    <w:p w14:paraId="013CA992" w14:textId="77777777" w:rsidR="00DE35FB" w:rsidRPr="00B47608" w:rsidRDefault="00DE35FB">
      <w:pPr>
        <w:rPr>
          <w:rFonts w:eastAsiaTheme="majorEastAsia" w:cstheme="majorBidi"/>
          <w:color w:val="0F4761" w:themeColor="accent1" w:themeShade="BF"/>
          <w:sz w:val="32"/>
          <w:szCs w:val="32"/>
        </w:rPr>
      </w:pPr>
      <w:r w:rsidRPr="00B47608">
        <w:br w:type="page"/>
      </w:r>
    </w:p>
    <w:p w14:paraId="59BD5983" w14:textId="4A7CB9AF" w:rsidR="00DE35FB" w:rsidRPr="004B32A9" w:rsidRDefault="00DE35FB" w:rsidP="00DE35FB">
      <w:pPr>
        <w:pStyle w:val="Titolo2"/>
        <w:rPr>
          <w:rFonts w:asciiTheme="minorHAnsi" w:hAnsiTheme="minorHAnsi"/>
          <w:lang w:val="en-GB"/>
        </w:rPr>
      </w:pPr>
      <w:bookmarkStart w:id="26" w:name="_Toc193106865"/>
      <w:proofErr w:type="spellStart"/>
      <w:r w:rsidRPr="004B32A9">
        <w:rPr>
          <w:rFonts w:asciiTheme="minorHAnsi" w:hAnsiTheme="minorHAnsi"/>
          <w:lang w:val="en-GB"/>
        </w:rPr>
        <w:lastRenderedPageBreak/>
        <w:t>Bibliografia</w:t>
      </w:r>
      <w:bookmarkEnd w:id="26"/>
      <w:proofErr w:type="spellEnd"/>
    </w:p>
    <w:p w14:paraId="517AD3B5" w14:textId="77777777" w:rsidR="006F1A71" w:rsidRPr="004B32A9" w:rsidRDefault="006F1A71" w:rsidP="006F1A71">
      <w:pPr>
        <w:rPr>
          <w:lang w:val="en-GB"/>
        </w:rPr>
      </w:pPr>
    </w:p>
    <w:p w14:paraId="38CE8325" w14:textId="2B6B74B1" w:rsidR="00DE35FB" w:rsidRPr="00B47608" w:rsidRDefault="006F1A71" w:rsidP="00DE35FB">
      <w:pPr>
        <w:rPr>
          <w:lang w:val="en-GB"/>
        </w:rPr>
      </w:pPr>
      <w:r w:rsidRPr="004B32A9">
        <w:rPr>
          <w:lang w:val="en-GB"/>
        </w:rPr>
        <w:t xml:space="preserve">Eppinger, P., </w:t>
      </w:r>
      <w:proofErr w:type="spellStart"/>
      <w:r w:rsidRPr="004B32A9">
        <w:rPr>
          <w:lang w:val="en-GB"/>
        </w:rPr>
        <w:t>Felbermayr</w:t>
      </w:r>
      <w:proofErr w:type="spellEnd"/>
      <w:r w:rsidRPr="004B32A9">
        <w:rPr>
          <w:lang w:val="en-GB"/>
        </w:rPr>
        <w:t xml:space="preserve">, G. J., Krebs, O., &amp; </w:t>
      </w:r>
      <w:proofErr w:type="spellStart"/>
      <w:r w:rsidRPr="004B32A9">
        <w:rPr>
          <w:lang w:val="en-GB"/>
        </w:rPr>
        <w:t>Kukharskyy</w:t>
      </w:r>
      <w:proofErr w:type="spellEnd"/>
      <w:r w:rsidRPr="004B32A9">
        <w:rPr>
          <w:lang w:val="en-GB"/>
        </w:rPr>
        <w:t xml:space="preserve">, B. (2021). </w:t>
      </w:r>
      <w:r w:rsidRPr="00B47608">
        <w:rPr>
          <w:lang w:val="en-GB"/>
        </w:rPr>
        <w:t>Decoupling global value chains.</w:t>
      </w:r>
    </w:p>
    <w:p w14:paraId="5B385906" w14:textId="64FD1125" w:rsidR="00BB646B" w:rsidRPr="00B47608" w:rsidRDefault="00BB646B" w:rsidP="000D3B3C">
      <w:pPr>
        <w:rPr>
          <w:lang w:val="en-GB"/>
        </w:rPr>
      </w:pPr>
      <w:proofErr w:type="spellStart"/>
      <w:r w:rsidRPr="00B47608">
        <w:rPr>
          <w:lang w:val="en-GB"/>
        </w:rPr>
        <w:t>Flaccadoro</w:t>
      </w:r>
      <w:proofErr w:type="spellEnd"/>
      <w:r w:rsidRPr="00B47608">
        <w:rPr>
          <w:lang w:val="en-GB"/>
        </w:rPr>
        <w:t>, M. (2024). The recent weakness in the German manufacturing sector (No. 902). Bank of Italy, Economic Research and International Relations Area.</w:t>
      </w:r>
    </w:p>
    <w:p w14:paraId="338C3402" w14:textId="14F37767" w:rsidR="000D3B3C" w:rsidRPr="00B47608" w:rsidRDefault="000D3B3C" w:rsidP="000D3B3C">
      <w:pPr>
        <w:rPr>
          <w:lang w:val="en-GB"/>
        </w:rPr>
      </w:pPr>
      <w:r w:rsidRPr="00B47608">
        <w:rPr>
          <w:lang w:val="en-GB"/>
        </w:rPr>
        <w:t>Shahmoradi, J. Y., &amp; van Elkan, R. (2023). Geo-economic Fragmentation: What's at Stake for the EU.</w:t>
      </w:r>
    </w:p>
    <w:p w14:paraId="7C1AC8A3" w14:textId="77777777" w:rsidR="00A7045B" w:rsidRPr="00B47608" w:rsidRDefault="00A7045B" w:rsidP="00A7045B">
      <w:pPr>
        <w:rPr>
          <w:lang w:val="en-GB"/>
        </w:rPr>
      </w:pPr>
      <w:r w:rsidRPr="00B47608">
        <w:rPr>
          <w:lang w:val="en-GB"/>
        </w:rPr>
        <w:t xml:space="preserve">Wache, B., </w:t>
      </w:r>
      <w:proofErr w:type="spellStart"/>
      <w:r w:rsidRPr="00B47608">
        <w:rPr>
          <w:lang w:val="en-GB"/>
        </w:rPr>
        <w:t>Boeters</w:t>
      </w:r>
      <w:proofErr w:type="spellEnd"/>
      <w:r w:rsidRPr="00B47608">
        <w:rPr>
          <w:lang w:val="en-GB"/>
        </w:rPr>
        <w:t xml:space="preserve">, S., Kütük, M. M., </w:t>
      </w:r>
      <w:proofErr w:type="spellStart"/>
      <w:r w:rsidRPr="00B47608">
        <w:rPr>
          <w:lang w:val="en-GB"/>
        </w:rPr>
        <w:t>Meijerink</w:t>
      </w:r>
      <w:proofErr w:type="spellEnd"/>
      <w:r w:rsidRPr="00B47608">
        <w:rPr>
          <w:lang w:val="en-GB"/>
        </w:rPr>
        <w:t xml:space="preserve">, G., </w:t>
      </w:r>
      <w:proofErr w:type="spellStart"/>
      <w:proofErr w:type="gramStart"/>
      <w:r w:rsidRPr="00B47608">
        <w:rPr>
          <w:lang w:val="en-GB"/>
        </w:rPr>
        <w:t>van‘</w:t>
      </w:r>
      <w:proofErr w:type="gramEnd"/>
      <w:r w:rsidRPr="00B47608">
        <w:rPr>
          <w:lang w:val="en-GB"/>
        </w:rPr>
        <w:t>t</w:t>
      </w:r>
      <w:proofErr w:type="spellEnd"/>
      <w:r w:rsidRPr="00B47608">
        <w:rPr>
          <w:lang w:val="en-GB"/>
        </w:rPr>
        <w:t xml:space="preserve"> Riet, M., &amp; Sommer, K. Geopolitical decoupling and integration scenarios of global trade.</w:t>
      </w:r>
    </w:p>
    <w:p w14:paraId="79F7DB40" w14:textId="77777777" w:rsidR="00A61EB0" w:rsidRPr="00B47608" w:rsidRDefault="00A61EB0" w:rsidP="00A61EB0">
      <w:pPr>
        <w:rPr>
          <w:lang w:val="en-GB"/>
        </w:rPr>
      </w:pPr>
      <w:r w:rsidRPr="00B47608">
        <w:t xml:space="preserve">Witt, M. A., Lewin, A. Y., Li, P. P., &amp; </w:t>
      </w:r>
      <w:proofErr w:type="spellStart"/>
      <w:r w:rsidRPr="00B47608">
        <w:t>Gaur</w:t>
      </w:r>
      <w:proofErr w:type="spellEnd"/>
      <w:r w:rsidRPr="00B47608">
        <w:t xml:space="preserve">, A. (2023). </w:t>
      </w:r>
      <w:r w:rsidRPr="00B47608">
        <w:rPr>
          <w:lang w:val="en-GB"/>
        </w:rPr>
        <w:t xml:space="preserve">Decoupling in international business: Evidence, drivers, impact, and implications for IB research. </w:t>
      </w:r>
      <w:r w:rsidRPr="00B47608">
        <w:rPr>
          <w:i/>
          <w:iCs/>
          <w:lang w:val="en-GB"/>
        </w:rPr>
        <w:t>Journal of World Business</w:t>
      </w:r>
      <w:r w:rsidRPr="00B47608">
        <w:rPr>
          <w:lang w:val="en-GB"/>
        </w:rPr>
        <w:t xml:space="preserve">, </w:t>
      </w:r>
      <w:r w:rsidRPr="00B47608">
        <w:rPr>
          <w:i/>
          <w:iCs/>
          <w:lang w:val="en-GB"/>
        </w:rPr>
        <w:t>58</w:t>
      </w:r>
      <w:r w:rsidRPr="00B47608">
        <w:rPr>
          <w:lang w:val="en-GB"/>
        </w:rPr>
        <w:t>(1), 101399.</w:t>
      </w:r>
    </w:p>
    <w:p w14:paraId="05463B61" w14:textId="2DC24ABE" w:rsidR="00686F0B" w:rsidRPr="00B47608" w:rsidRDefault="00686F0B" w:rsidP="00A61EB0">
      <w:pPr>
        <w:rPr>
          <w:lang w:val="en-GB"/>
        </w:rPr>
      </w:pPr>
      <w:r w:rsidRPr="00B47608">
        <w:rPr>
          <w:lang w:val="en-GB"/>
        </w:rPr>
        <w:t>WTO Ganne, E., Locks, L., &amp; Xu, A. (2024). Trading with Intelligence: How AI Shapes and is Shaped by International Trade.</w:t>
      </w:r>
      <w:r w:rsidR="000136E2" w:rsidRPr="00B47608">
        <w:rPr>
          <w:lang w:val="en-GB"/>
        </w:rPr>
        <w:t xml:space="preserve"> </w:t>
      </w:r>
    </w:p>
    <w:p w14:paraId="7627EFC9" w14:textId="77777777" w:rsidR="00DE35FB" w:rsidRPr="00B47608" w:rsidRDefault="00DE35FB" w:rsidP="00DE35FB">
      <w:pPr>
        <w:rPr>
          <w:lang w:val="en-GB"/>
        </w:rPr>
      </w:pPr>
    </w:p>
    <w:sectPr w:rsidR="00DE35FB" w:rsidRPr="00B47608" w:rsidSect="002C29A6">
      <w:footerReference w:type="default" r:id="rId28"/>
      <w:pgSz w:w="11906" w:h="16838"/>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9F1208" w14:textId="77777777" w:rsidR="004E7002" w:rsidRDefault="004E7002" w:rsidP="0018185A">
      <w:pPr>
        <w:spacing w:after="0" w:line="240" w:lineRule="auto"/>
      </w:pPr>
      <w:r>
        <w:separator/>
      </w:r>
    </w:p>
  </w:endnote>
  <w:endnote w:type="continuationSeparator" w:id="0">
    <w:p w14:paraId="6C04A889" w14:textId="77777777" w:rsidR="004E7002" w:rsidRDefault="004E7002" w:rsidP="0018185A">
      <w:pPr>
        <w:spacing w:after="0" w:line="240" w:lineRule="auto"/>
      </w:pPr>
      <w:r>
        <w:continuationSeparator/>
      </w:r>
    </w:p>
  </w:endnote>
  <w:endnote w:type="continuationNotice" w:id="1">
    <w:p w14:paraId="0337AD64" w14:textId="77777777" w:rsidR="004E7002" w:rsidRDefault="004E70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17D6D" w14:textId="77777777" w:rsidR="00107EC5" w:rsidRDefault="00107EC5">
    <w:pPr>
      <w:pStyle w:val="Pidipagina"/>
      <w:jc w:val="right"/>
      <w:rPr>
        <w:color w:val="156082" w:themeColor="accent1"/>
        <w:sz w:val="20"/>
        <w:szCs w:val="20"/>
      </w:rPr>
    </w:pPr>
  </w:p>
  <w:p w14:paraId="230F92F7" w14:textId="43115974" w:rsidR="0018185A" w:rsidRPr="00367973" w:rsidRDefault="0018185A">
    <w:pPr>
      <w:pStyle w:val="Pidipagina"/>
      <w:jc w:val="right"/>
      <w:rPr>
        <w:color w:val="156082" w:themeColor="accent1"/>
        <w:sz w:val="20"/>
        <w:szCs w:val="20"/>
      </w:rPr>
    </w:pPr>
    <w:r w:rsidRPr="00367973">
      <w:rPr>
        <w:color w:val="156082" w:themeColor="accent1"/>
        <w:sz w:val="18"/>
        <w:szCs w:val="18"/>
      </w:rPr>
      <w:t xml:space="preserve">pag. </w:t>
    </w:r>
    <w:r w:rsidRPr="00367973">
      <w:rPr>
        <w:color w:val="156082" w:themeColor="accent1"/>
        <w:sz w:val="18"/>
        <w:szCs w:val="18"/>
      </w:rPr>
      <w:fldChar w:fldCharType="begin"/>
    </w:r>
    <w:r w:rsidRPr="00367973">
      <w:rPr>
        <w:color w:val="156082" w:themeColor="accent1"/>
        <w:sz w:val="18"/>
        <w:szCs w:val="18"/>
      </w:rPr>
      <w:instrText>PAGE  \* Arabic</w:instrText>
    </w:r>
    <w:r w:rsidRPr="00367973">
      <w:rPr>
        <w:color w:val="156082" w:themeColor="accent1"/>
        <w:sz w:val="18"/>
        <w:szCs w:val="18"/>
      </w:rPr>
      <w:fldChar w:fldCharType="separate"/>
    </w:r>
    <w:r w:rsidRPr="00367973">
      <w:rPr>
        <w:color w:val="156082" w:themeColor="accent1"/>
        <w:sz w:val="18"/>
        <w:szCs w:val="18"/>
      </w:rPr>
      <w:t>1</w:t>
    </w:r>
    <w:r w:rsidRPr="00367973">
      <w:rPr>
        <w:color w:val="156082" w:themeColor="accent1"/>
        <w:sz w:val="18"/>
        <w:szCs w:val="18"/>
      </w:rPr>
      <w:fldChar w:fldCharType="end"/>
    </w:r>
  </w:p>
  <w:p w14:paraId="3FB4E35E" w14:textId="77777777" w:rsidR="0018185A" w:rsidRDefault="0018185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D69B1" w14:textId="77777777" w:rsidR="004E7002" w:rsidRDefault="004E7002" w:rsidP="0018185A">
      <w:pPr>
        <w:spacing w:after="0" w:line="240" w:lineRule="auto"/>
      </w:pPr>
      <w:r>
        <w:separator/>
      </w:r>
    </w:p>
  </w:footnote>
  <w:footnote w:type="continuationSeparator" w:id="0">
    <w:p w14:paraId="6139F298" w14:textId="77777777" w:rsidR="004E7002" w:rsidRDefault="004E7002" w:rsidP="0018185A">
      <w:pPr>
        <w:spacing w:after="0" w:line="240" w:lineRule="auto"/>
      </w:pPr>
      <w:r>
        <w:continuationSeparator/>
      </w:r>
    </w:p>
  </w:footnote>
  <w:footnote w:type="continuationNotice" w:id="1">
    <w:p w14:paraId="71E0B8A3" w14:textId="77777777" w:rsidR="004E7002" w:rsidRDefault="004E7002">
      <w:pPr>
        <w:spacing w:after="0" w:line="240" w:lineRule="auto"/>
      </w:pPr>
    </w:p>
  </w:footnote>
  <w:footnote w:id="2">
    <w:p w14:paraId="5AC67DBA" w14:textId="28553477" w:rsidR="000769B9" w:rsidRPr="001E5DC5" w:rsidRDefault="000769B9">
      <w:pPr>
        <w:pStyle w:val="Testonotaapidipagina"/>
        <w:rPr>
          <w:sz w:val="18"/>
          <w:szCs w:val="18"/>
        </w:rPr>
      </w:pPr>
      <w:r w:rsidRPr="001E5DC5">
        <w:rPr>
          <w:rStyle w:val="Rimandonotaapidipagina"/>
          <w:sz w:val="18"/>
          <w:szCs w:val="18"/>
        </w:rPr>
        <w:footnoteRef/>
      </w:r>
      <w:r w:rsidRPr="001E5DC5">
        <w:rPr>
          <w:sz w:val="18"/>
          <w:szCs w:val="18"/>
        </w:rPr>
        <w:t xml:space="preserve"> </w:t>
      </w:r>
      <w:r w:rsidR="000D5A3C" w:rsidRPr="001E5DC5">
        <w:rPr>
          <w:sz w:val="18"/>
          <w:szCs w:val="18"/>
        </w:rPr>
        <w:t xml:space="preserve">Le imprese sono state classificate in base alla quota di export sul fatturato totale in: Alta intensità – </w:t>
      </w:r>
      <w:r w:rsidR="00EB6A27" w:rsidRPr="001E5DC5">
        <w:rPr>
          <w:sz w:val="18"/>
          <w:szCs w:val="18"/>
        </w:rPr>
        <w:t xml:space="preserve">quota di </w:t>
      </w:r>
      <w:r w:rsidR="000D5A3C" w:rsidRPr="001E5DC5">
        <w:rPr>
          <w:sz w:val="18"/>
          <w:szCs w:val="18"/>
        </w:rPr>
        <w:t>export</w:t>
      </w:r>
      <w:r w:rsidR="00EB6A27" w:rsidRPr="001E5DC5">
        <w:rPr>
          <w:sz w:val="18"/>
          <w:szCs w:val="18"/>
        </w:rPr>
        <w:t xml:space="preserve"> sul fatturato</w:t>
      </w:r>
      <w:r w:rsidR="000D5A3C" w:rsidRPr="001E5DC5">
        <w:rPr>
          <w:sz w:val="18"/>
          <w:szCs w:val="18"/>
        </w:rPr>
        <w:t xml:space="preserve"> </w:t>
      </w:r>
      <w:r w:rsidR="00EB6A27" w:rsidRPr="001E5DC5">
        <w:rPr>
          <w:sz w:val="18"/>
          <w:szCs w:val="18"/>
        </w:rPr>
        <w:t>superiore</w:t>
      </w:r>
      <w:r w:rsidR="00B57D8A" w:rsidRPr="001E5DC5">
        <w:rPr>
          <w:sz w:val="18"/>
          <w:szCs w:val="18"/>
        </w:rPr>
        <w:t xml:space="preserve"> al </w:t>
      </w:r>
      <w:r w:rsidR="00EB6A27" w:rsidRPr="001E5DC5">
        <w:rPr>
          <w:sz w:val="18"/>
          <w:szCs w:val="18"/>
        </w:rPr>
        <w:t xml:space="preserve">60%, </w:t>
      </w:r>
      <w:r w:rsidR="00376E29" w:rsidRPr="001E5DC5">
        <w:rPr>
          <w:sz w:val="18"/>
          <w:szCs w:val="18"/>
        </w:rPr>
        <w:t xml:space="preserve">media – tra 20 e 60%, </w:t>
      </w:r>
      <w:r w:rsidR="002B486B" w:rsidRPr="001E5DC5">
        <w:rPr>
          <w:sz w:val="18"/>
          <w:szCs w:val="18"/>
        </w:rPr>
        <w:t xml:space="preserve">bassa </w:t>
      </w:r>
      <w:r w:rsidR="00B03CE4" w:rsidRPr="001E5DC5">
        <w:rPr>
          <w:sz w:val="18"/>
          <w:szCs w:val="18"/>
        </w:rPr>
        <w:t>–</w:t>
      </w:r>
      <w:r w:rsidR="002B486B" w:rsidRPr="001E5DC5">
        <w:rPr>
          <w:sz w:val="18"/>
          <w:szCs w:val="18"/>
        </w:rPr>
        <w:t xml:space="preserve"> </w:t>
      </w:r>
      <w:r w:rsidR="00B03CE4" w:rsidRPr="001E5DC5">
        <w:rPr>
          <w:sz w:val="18"/>
          <w:szCs w:val="18"/>
        </w:rPr>
        <w:t>tra 0,1 e 20%</w:t>
      </w:r>
      <w:r w:rsidR="001E5DC5" w:rsidRPr="001E5DC5">
        <w:rPr>
          <w:sz w:val="18"/>
          <w:szCs w:val="18"/>
        </w:rPr>
        <w:t xml:space="preserve"> e non esportatori quando la quota è pari a 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53A7F"/>
    <w:multiLevelType w:val="hybridMultilevel"/>
    <w:tmpl w:val="42B2FF7A"/>
    <w:lvl w:ilvl="0" w:tplc="15D637D4">
      <w:start w:val="2"/>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84D46FA"/>
    <w:multiLevelType w:val="hybridMultilevel"/>
    <w:tmpl w:val="3C0E543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2A3F6DD4"/>
    <w:multiLevelType w:val="hybridMultilevel"/>
    <w:tmpl w:val="C09A8990"/>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3F68443B"/>
    <w:multiLevelType w:val="hybridMultilevel"/>
    <w:tmpl w:val="B97A2D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53B2A33"/>
    <w:multiLevelType w:val="hybridMultilevel"/>
    <w:tmpl w:val="A1B4E82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26D6209"/>
    <w:multiLevelType w:val="hybridMultilevel"/>
    <w:tmpl w:val="BAB68B8C"/>
    <w:lvl w:ilvl="0" w:tplc="AE043E92">
      <w:start w:val="14"/>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67F2639"/>
    <w:multiLevelType w:val="hybridMultilevel"/>
    <w:tmpl w:val="2446FDFE"/>
    <w:lvl w:ilvl="0" w:tplc="BB2657CC">
      <w:start w:val="1"/>
      <w:numFmt w:val="bullet"/>
      <w:lvlText w:val=""/>
      <w:lvlJc w:val="left"/>
      <w:pPr>
        <w:ind w:left="1020" w:hanging="360"/>
      </w:pPr>
      <w:rPr>
        <w:rFonts w:ascii="Symbol" w:hAnsi="Symbol"/>
      </w:rPr>
    </w:lvl>
    <w:lvl w:ilvl="1" w:tplc="BDD87F06">
      <w:start w:val="1"/>
      <w:numFmt w:val="bullet"/>
      <w:lvlText w:val=""/>
      <w:lvlJc w:val="left"/>
      <w:pPr>
        <w:ind w:left="1020" w:hanging="360"/>
      </w:pPr>
      <w:rPr>
        <w:rFonts w:ascii="Symbol" w:hAnsi="Symbol"/>
      </w:rPr>
    </w:lvl>
    <w:lvl w:ilvl="2" w:tplc="9EB07514">
      <w:start w:val="1"/>
      <w:numFmt w:val="bullet"/>
      <w:lvlText w:val=""/>
      <w:lvlJc w:val="left"/>
      <w:pPr>
        <w:ind w:left="1020" w:hanging="360"/>
      </w:pPr>
      <w:rPr>
        <w:rFonts w:ascii="Symbol" w:hAnsi="Symbol"/>
      </w:rPr>
    </w:lvl>
    <w:lvl w:ilvl="3" w:tplc="0F5E0D24">
      <w:start w:val="1"/>
      <w:numFmt w:val="bullet"/>
      <w:lvlText w:val=""/>
      <w:lvlJc w:val="left"/>
      <w:pPr>
        <w:ind w:left="1020" w:hanging="360"/>
      </w:pPr>
      <w:rPr>
        <w:rFonts w:ascii="Symbol" w:hAnsi="Symbol"/>
      </w:rPr>
    </w:lvl>
    <w:lvl w:ilvl="4" w:tplc="634A9856">
      <w:start w:val="1"/>
      <w:numFmt w:val="bullet"/>
      <w:lvlText w:val=""/>
      <w:lvlJc w:val="left"/>
      <w:pPr>
        <w:ind w:left="1020" w:hanging="360"/>
      </w:pPr>
      <w:rPr>
        <w:rFonts w:ascii="Symbol" w:hAnsi="Symbol"/>
      </w:rPr>
    </w:lvl>
    <w:lvl w:ilvl="5" w:tplc="B268F13A">
      <w:start w:val="1"/>
      <w:numFmt w:val="bullet"/>
      <w:lvlText w:val=""/>
      <w:lvlJc w:val="left"/>
      <w:pPr>
        <w:ind w:left="1020" w:hanging="360"/>
      </w:pPr>
      <w:rPr>
        <w:rFonts w:ascii="Symbol" w:hAnsi="Symbol"/>
      </w:rPr>
    </w:lvl>
    <w:lvl w:ilvl="6" w:tplc="E332A61A">
      <w:start w:val="1"/>
      <w:numFmt w:val="bullet"/>
      <w:lvlText w:val=""/>
      <w:lvlJc w:val="left"/>
      <w:pPr>
        <w:ind w:left="1020" w:hanging="360"/>
      </w:pPr>
      <w:rPr>
        <w:rFonts w:ascii="Symbol" w:hAnsi="Symbol"/>
      </w:rPr>
    </w:lvl>
    <w:lvl w:ilvl="7" w:tplc="AB30EB32">
      <w:start w:val="1"/>
      <w:numFmt w:val="bullet"/>
      <w:lvlText w:val=""/>
      <w:lvlJc w:val="left"/>
      <w:pPr>
        <w:ind w:left="1020" w:hanging="360"/>
      </w:pPr>
      <w:rPr>
        <w:rFonts w:ascii="Symbol" w:hAnsi="Symbol"/>
      </w:rPr>
    </w:lvl>
    <w:lvl w:ilvl="8" w:tplc="62BA0DC6">
      <w:start w:val="1"/>
      <w:numFmt w:val="bullet"/>
      <w:lvlText w:val=""/>
      <w:lvlJc w:val="left"/>
      <w:pPr>
        <w:ind w:left="1020" w:hanging="360"/>
      </w:pPr>
      <w:rPr>
        <w:rFonts w:ascii="Symbol" w:hAnsi="Symbol"/>
      </w:rPr>
    </w:lvl>
  </w:abstractNum>
  <w:num w:numId="1" w16cid:durableId="1617365872">
    <w:abstractNumId w:val="0"/>
  </w:num>
  <w:num w:numId="2" w16cid:durableId="171338988">
    <w:abstractNumId w:val="5"/>
  </w:num>
  <w:num w:numId="3" w16cid:durableId="990408435">
    <w:abstractNumId w:val="3"/>
  </w:num>
  <w:num w:numId="4" w16cid:durableId="98139965">
    <w:abstractNumId w:val="1"/>
  </w:num>
  <w:num w:numId="5" w16cid:durableId="1440180235">
    <w:abstractNumId w:val="4"/>
  </w:num>
  <w:num w:numId="6" w16cid:durableId="1546600025">
    <w:abstractNumId w:val="2"/>
  </w:num>
  <w:num w:numId="7" w16cid:durableId="17173932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1D3"/>
    <w:rsid w:val="00000E8F"/>
    <w:rsid w:val="00000EE5"/>
    <w:rsid w:val="0000349F"/>
    <w:rsid w:val="00003FA2"/>
    <w:rsid w:val="00006552"/>
    <w:rsid w:val="00006E1F"/>
    <w:rsid w:val="00010B48"/>
    <w:rsid w:val="000113B8"/>
    <w:rsid w:val="000116A1"/>
    <w:rsid w:val="00012711"/>
    <w:rsid w:val="000136E2"/>
    <w:rsid w:val="00014271"/>
    <w:rsid w:val="00014319"/>
    <w:rsid w:val="000143AA"/>
    <w:rsid w:val="000154BE"/>
    <w:rsid w:val="00015508"/>
    <w:rsid w:val="00020447"/>
    <w:rsid w:val="00021871"/>
    <w:rsid w:val="000244B9"/>
    <w:rsid w:val="00024595"/>
    <w:rsid w:val="00026410"/>
    <w:rsid w:val="00027B68"/>
    <w:rsid w:val="00030526"/>
    <w:rsid w:val="0003327E"/>
    <w:rsid w:val="0003392B"/>
    <w:rsid w:val="0003620D"/>
    <w:rsid w:val="00037B27"/>
    <w:rsid w:val="0004356E"/>
    <w:rsid w:val="00044D3D"/>
    <w:rsid w:val="00044FCE"/>
    <w:rsid w:val="000451B6"/>
    <w:rsid w:val="00051B54"/>
    <w:rsid w:val="0005439F"/>
    <w:rsid w:val="00054B50"/>
    <w:rsid w:val="0005509D"/>
    <w:rsid w:val="000557F4"/>
    <w:rsid w:val="00060469"/>
    <w:rsid w:val="00062562"/>
    <w:rsid w:val="0006295D"/>
    <w:rsid w:val="00074137"/>
    <w:rsid w:val="00075C2C"/>
    <w:rsid w:val="000769B9"/>
    <w:rsid w:val="00076DA0"/>
    <w:rsid w:val="00076F78"/>
    <w:rsid w:val="00083061"/>
    <w:rsid w:val="00084F4D"/>
    <w:rsid w:val="00085FF1"/>
    <w:rsid w:val="00086BC0"/>
    <w:rsid w:val="00090EC8"/>
    <w:rsid w:val="000914EB"/>
    <w:rsid w:val="00092AD3"/>
    <w:rsid w:val="000945C2"/>
    <w:rsid w:val="00095F8B"/>
    <w:rsid w:val="00097F60"/>
    <w:rsid w:val="000A03B4"/>
    <w:rsid w:val="000A1D06"/>
    <w:rsid w:val="000A2FA5"/>
    <w:rsid w:val="000A32CB"/>
    <w:rsid w:val="000A41BA"/>
    <w:rsid w:val="000A781A"/>
    <w:rsid w:val="000B0E1E"/>
    <w:rsid w:val="000B2EF1"/>
    <w:rsid w:val="000B4000"/>
    <w:rsid w:val="000B5111"/>
    <w:rsid w:val="000B575F"/>
    <w:rsid w:val="000C0D72"/>
    <w:rsid w:val="000C0F10"/>
    <w:rsid w:val="000C24C3"/>
    <w:rsid w:val="000C6F17"/>
    <w:rsid w:val="000D0B4C"/>
    <w:rsid w:val="000D1BD3"/>
    <w:rsid w:val="000D3B3C"/>
    <w:rsid w:val="000D3E79"/>
    <w:rsid w:val="000D4A0F"/>
    <w:rsid w:val="000D5A3C"/>
    <w:rsid w:val="000D79DC"/>
    <w:rsid w:val="000E065A"/>
    <w:rsid w:val="000E0CF2"/>
    <w:rsid w:val="000E448F"/>
    <w:rsid w:val="000E5064"/>
    <w:rsid w:val="000E5614"/>
    <w:rsid w:val="000E632B"/>
    <w:rsid w:val="000F11BF"/>
    <w:rsid w:val="000F52D5"/>
    <w:rsid w:val="000F5661"/>
    <w:rsid w:val="000F627B"/>
    <w:rsid w:val="001001EA"/>
    <w:rsid w:val="00102257"/>
    <w:rsid w:val="00103D26"/>
    <w:rsid w:val="001047E7"/>
    <w:rsid w:val="00104B52"/>
    <w:rsid w:val="001060CC"/>
    <w:rsid w:val="00106578"/>
    <w:rsid w:val="00107EC5"/>
    <w:rsid w:val="00112B83"/>
    <w:rsid w:val="00114E08"/>
    <w:rsid w:val="00115878"/>
    <w:rsid w:val="00115AF9"/>
    <w:rsid w:val="0011798E"/>
    <w:rsid w:val="00122D6C"/>
    <w:rsid w:val="00123964"/>
    <w:rsid w:val="0012479F"/>
    <w:rsid w:val="00126741"/>
    <w:rsid w:val="001331E9"/>
    <w:rsid w:val="00134A5A"/>
    <w:rsid w:val="00134F68"/>
    <w:rsid w:val="00135228"/>
    <w:rsid w:val="00140078"/>
    <w:rsid w:val="00141455"/>
    <w:rsid w:val="00144583"/>
    <w:rsid w:val="001460E9"/>
    <w:rsid w:val="00147045"/>
    <w:rsid w:val="001526D8"/>
    <w:rsid w:val="0015701F"/>
    <w:rsid w:val="00161BBA"/>
    <w:rsid w:val="00162EDB"/>
    <w:rsid w:val="00165495"/>
    <w:rsid w:val="00165658"/>
    <w:rsid w:val="00166EB2"/>
    <w:rsid w:val="001719D5"/>
    <w:rsid w:val="001731AA"/>
    <w:rsid w:val="00174AD3"/>
    <w:rsid w:val="00176018"/>
    <w:rsid w:val="00181299"/>
    <w:rsid w:val="00181839"/>
    <w:rsid w:val="0018185A"/>
    <w:rsid w:val="00181A5B"/>
    <w:rsid w:val="00184A2D"/>
    <w:rsid w:val="00184CE8"/>
    <w:rsid w:val="00190DDE"/>
    <w:rsid w:val="001A0C40"/>
    <w:rsid w:val="001A0FE4"/>
    <w:rsid w:val="001A21FD"/>
    <w:rsid w:val="001A2B21"/>
    <w:rsid w:val="001B0877"/>
    <w:rsid w:val="001B19EC"/>
    <w:rsid w:val="001B2646"/>
    <w:rsid w:val="001B41FC"/>
    <w:rsid w:val="001B68C2"/>
    <w:rsid w:val="001C3B35"/>
    <w:rsid w:val="001C3BED"/>
    <w:rsid w:val="001C481C"/>
    <w:rsid w:val="001C4A5C"/>
    <w:rsid w:val="001C76A8"/>
    <w:rsid w:val="001C78AE"/>
    <w:rsid w:val="001D37E2"/>
    <w:rsid w:val="001D4727"/>
    <w:rsid w:val="001D4B59"/>
    <w:rsid w:val="001D685A"/>
    <w:rsid w:val="001D7A0B"/>
    <w:rsid w:val="001E120E"/>
    <w:rsid w:val="001E1959"/>
    <w:rsid w:val="001E5D14"/>
    <w:rsid w:val="001E5DC5"/>
    <w:rsid w:val="001E6256"/>
    <w:rsid w:val="001E629B"/>
    <w:rsid w:val="001F02F4"/>
    <w:rsid w:val="001F04B7"/>
    <w:rsid w:val="001F52EB"/>
    <w:rsid w:val="00200DF5"/>
    <w:rsid w:val="002030B7"/>
    <w:rsid w:val="00204082"/>
    <w:rsid w:val="0020415D"/>
    <w:rsid w:val="00206B0F"/>
    <w:rsid w:val="002101B7"/>
    <w:rsid w:val="002127DC"/>
    <w:rsid w:val="002139AC"/>
    <w:rsid w:val="00220503"/>
    <w:rsid w:val="00220D71"/>
    <w:rsid w:val="00221D0A"/>
    <w:rsid w:val="00221DA7"/>
    <w:rsid w:val="002266D7"/>
    <w:rsid w:val="00226DB5"/>
    <w:rsid w:val="00230D19"/>
    <w:rsid w:val="00231CA5"/>
    <w:rsid w:val="00232575"/>
    <w:rsid w:val="0023384B"/>
    <w:rsid w:val="00234917"/>
    <w:rsid w:val="00234D59"/>
    <w:rsid w:val="002353AD"/>
    <w:rsid w:val="00235758"/>
    <w:rsid w:val="00236E91"/>
    <w:rsid w:val="00236EA9"/>
    <w:rsid w:val="002372D8"/>
    <w:rsid w:val="00242653"/>
    <w:rsid w:val="00242BE5"/>
    <w:rsid w:val="00242ED5"/>
    <w:rsid w:val="00242EDC"/>
    <w:rsid w:val="002446CF"/>
    <w:rsid w:val="00246019"/>
    <w:rsid w:val="00253DE7"/>
    <w:rsid w:val="0025657E"/>
    <w:rsid w:val="002617D0"/>
    <w:rsid w:val="00261918"/>
    <w:rsid w:val="00262011"/>
    <w:rsid w:val="002632BB"/>
    <w:rsid w:val="0026496B"/>
    <w:rsid w:val="00270595"/>
    <w:rsid w:val="002726F7"/>
    <w:rsid w:val="00272D36"/>
    <w:rsid w:val="00277B09"/>
    <w:rsid w:val="00291055"/>
    <w:rsid w:val="00292667"/>
    <w:rsid w:val="00292911"/>
    <w:rsid w:val="0029303B"/>
    <w:rsid w:val="00293A10"/>
    <w:rsid w:val="00293E29"/>
    <w:rsid w:val="002940CC"/>
    <w:rsid w:val="00295A1C"/>
    <w:rsid w:val="002963CB"/>
    <w:rsid w:val="002A0941"/>
    <w:rsid w:val="002A13F3"/>
    <w:rsid w:val="002A1BEE"/>
    <w:rsid w:val="002A2C00"/>
    <w:rsid w:val="002A5C5E"/>
    <w:rsid w:val="002A6A3C"/>
    <w:rsid w:val="002A709C"/>
    <w:rsid w:val="002B1417"/>
    <w:rsid w:val="002B293C"/>
    <w:rsid w:val="002B486B"/>
    <w:rsid w:val="002B48E8"/>
    <w:rsid w:val="002B4C40"/>
    <w:rsid w:val="002B5146"/>
    <w:rsid w:val="002C29A6"/>
    <w:rsid w:val="002C38F2"/>
    <w:rsid w:val="002C46FD"/>
    <w:rsid w:val="002C4CF0"/>
    <w:rsid w:val="002C4E8C"/>
    <w:rsid w:val="002D056B"/>
    <w:rsid w:val="002D3805"/>
    <w:rsid w:val="002D38F2"/>
    <w:rsid w:val="002D4661"/>
    <w:rsid w:val="002D6419"/>
    <w:rsid w:val="002D710E"/>
    <w:rsid w:val="002D7149"/>
    <w:rsid w:val="002E1185"/>
    <w:rsid w:val="002E25E0"/>
    <w:rsid w:val="002E3964"/>
    <w:rsid w:val="002F00AF"/>
    <w:rsid w:val="002F0B63"/>
    <w:rsid w:val="002F0D90"/>
    <w:rsid w:val="002F156E"/>
    <w:rsid w:val="002F1D2D"/>
    <w:rsid w:val="002F3EF9"/>
    <w:rsid w:val="002F4629"/>
    <w:rsid w:val="002F5D17"/>
    <w:rsid w:val="00304D50"/>
    <w:rsid w:val="003050E6"/>
    <w:rsid w:val="00306061"/>
    <w:rsid w:val="00310200"/>
    <w:rsid w:val="00313669"/>
    <w:rsid w:val="00313B5A"/>
    <w:rsid w:val="00314911"/>
    <w:rsid w:val="00315F14"/>
    <w:rsid w:val="0031647D"/>
    <w:rsid w:val="00321FAA"/>
    <w:rsid w:val="00324261"/>
    <w:rsid w:val="00326CBC"/>
    <w:rsid w:val="0032771F"/>
    <w:rsid w:val="00331813"/>
    <w:rsid w:val="00333A06"/>
    <w:rsid w:val="003367E1"/>
    <w:rsid w:val="00337E5C"/>
    <w:rsid w:val="0034096A"/>
    <w:rsid w:val="00343618"/>
    <w:rsid w:val="0034565E"/>
    <w:rsid w:val="00345F37"/>
    <w:rsid w:val="003508EC"/>
    <w:rsid w:val="00350F44"/>
    <w:rsid w:val="00350F9D"/>
    <w:rsid w:val="003546BF"/>
    <w:rsid w:val="00356A0A"/>
    <w:rsid w:val="00362B70"/>
    <w:rsid w:val="0036589A"/>
    <w:rsid w:val="0036721A"/>
    <w:rsid w:val="00367973"/>
    <w:rsid w:val="00370D8B"/>
    <w:rsid w:val="00370DF5"/>
    <w:rsid w:val="00371246"/>
    <w:rsid w:val="0037365D"/>
    <w:rsid w:val="00374674"/>
    <w:rsid w:val="003755B0"/>
    <w:rsid w:val="00376E29"/>
    <w:rsid w:val="003809E6"/>
    <w:rsid w:val="00380B9D"/>
    <w:rsid w:val="00380C46"/>
    <w:rsid w:val="00380CB1"/>
    <w:rsid w:val="00383028"/>
    <w:rsid w:val="00383722"/>
    <w:rsid w:val="00384D18"/>
    <w:rsid w:val="003862BD"/>
    <w:rsid w:val="003909F8"/>
    <w:rsid w:val="003926C0"/>
    <w:rsid w:val="00392765"/>
    <w:rsid w:val="003A2859"/>
    <w:rsid w:val="003A2C2A"/>
    <w:rsid w:val="003A48C6"/>
    <w:rsid w:val="003A49C4"/>
    <w:rsid w:val="003A6E36"/>
    <w:rsid w:val="003A71B0"/>
    <w:rsid w:val="003B251E"/>
    <w:rsid w:val="003B4DD8"/>
    <w:rsid w:val="003B5662"/>
    <w:rsid w:val="003B670C"/>
    <w:rsid w:val="003C003A"/>
    <w:rsid w:val="003C193A"/>
    <w:rsid w:val="003C6FED"/>
    <w:rsid w:val="003D07B5"/>
    <w:rsid w:val="003D62C6"/>
    <w:rsid w:val="003D7354"/>
    <w:rsid w:val="003E2B65"/>
    <w:rsid w:val="003E440F"/>
    <w:rsid w:val="003E52B9"/>
    <w:rsid w:val="003E5BF4"/>
    <w:rsid w:val="003E630E"/>
    <w:rsid w:val="003F1073"/>
    <w:rsid w:val="003F179C"/>
    <w:rsid w:val="003F226B"/>
    <w:rsid w:val="003F30FB"/>
    <w:rsid w:val="003F7F9E"/>
    <w:rsid w:val="00400663"/>
    <w:rsid w:val="0040219A"/>
    <w:rsid w:val="004029D0"/>
    <w:rsid w:val="00404525"/>
    <w:rsid w:val="00407CB1"/>
    <w:rsid w:val="004108B4"/>
    <w:rsid w:val="004112E8"/>
    <w:rsid w:val="00412249"/>
    <w:rsid w:val="00413657"/>
    <w:rsid w:val="00415DA4"/>
    <w:rsid w:val="00416DE6"/>
    <w:rsid w:val="00422C83"/>
    <w:rsid w:val="00424391"/>
    <w:rsid w:val="004246BD"/>
    <w:rsid w:val="00425DF7"/>
    <w:rsid w:val="00427739"/>
    <w:rsid w:val="00427C5C"/>
    <w:rsid w:val="004356C5"/>
    <w:rsid w:val="00435FAC"/>
    <w:rsid w:val="00441AA7"/>
    <w:rsid w:val="004420F2"/>
    <w:rsid w:val="00442103"/>
    <w:rsid w:val="004438DA"/>
    <w:rsid w:val="004440D1"/>
    <w:rsid w:val="00445344"/>
    <w:rsid w:val="00451026"/>
    <w:rsid w:val="004524C4"/>
    <w:rsid w:val="00454DF4"/>
    <w:rsid w:val="00455DFF"/>
    <w:rsid w:val="004620A3"/>
    <w:rsid w:val="00464CEC"/>
    <w:rsid w:val="0046628E"/>
    <w:rsid w:val="004670EC"/>
    <w:rsid w:val="00467C61"/>
    <w:rsid w:val="004704EF"/>
    <w:rsid w:val="004720EA"/>
    <w:rsid w:val="00473828"/>
    <w:rsid w:val="004747A2"/>
    <w:rsid w:val="00476836"/>
    <w:rsid w:val="00477102"/>
    <w:rsid w:val="00481CEF"/>
    <w:rsid w:val="0048760A"/>
    <w:rsid w:val="004929E0"/>
    <w:rsid w:val="00493B81"/>
    <w:rsid w:val="00494A76"/>
    <w:rsid w:val="00494C22"/>
    <w:rsid w:val="00494CD7"/>
    <w:rsid w:val="00495641"/>
    <w:rsid w:val="004A4DF2"/>
    <w:rsid w:val="004A6519"/>
    <w:rsid w:val="004B03CD"/>
    <w:rsid w:val="004B07B5"/>
    <w:rsid w:val="004B32A9"/>
    <w:rsid w:val="004B51D1"/>
    <w:rsid w:val="004B7684"/>
    <w:rsid w:val="004C0267"/>
    <w:rsid w:val="004C2A62"/>
    <w:rsid w:val="004C3149"/>
    <w:rsid w:val="004C33E4"/>
    <w:rsid w:val="004C5EE9"/>
    <w:rsid w:val="004C7FF8"/>
    <w:rsid w:val="004D1ACE"/>
    <w:rsid w:val="004D25B3"/>
    <w:rsid w:val="004D347A"/>
    <w:rsid w:val="004D4F59"/>
    <w:rsid w:val="004D71B6"/>
    <w:rsid w:val="004D7D3B"/>
    <w:rsid w:val="004D7D84"/>
    <w:rsid w:val="004D7E00"/>
    <w:rsid w:val="004E0774"/>
    <w:rsid w:val="004E0A7B"/>
    <w:rsid w:val="004E7002"/>
    <w:rsid w:val="004E76C9"/>
    <w:rsid w:val="004F0602"/>
    <w:rsid w:val="004F0EF6"/>
    <w:rsid w:val="004F1FE3"/>
    <w:rsid w:val="004F2079"/>
    <w:rsid w:val="004F34D9"/>
    <w:rsid w:val="004F3636"/>
    <w:rsid w:val="004F3BEB"/>
    <w:rsid w:val="004F4F65"/>
    <w:rsid w:val="004F6DA8"/>
    <w:rsid w:val="005016F4"/>
    <w:rsid w:val="00502F09"/>
    <w:rsid w:val="005033C7"/>
    <w:rsid w:val="00504C29"/>
    <w:rsid w:val="00504F7C"/>
    <w:rsid w:val="005110A3"/>
    <w:rsid w:val="00515377"/>
    <w:rsid w:val="005210A6"/>
    <w:rsid w:val="0052111C"/>
    <w:rsid w:val="005212AC"/>
    <w:rsid w:val="00521D59"/>
    <w:rsid w:val="00522F68"/>
    <w:rsid w:val="0052329B"/>
    <w:rsid w:val="0052392F"/>
    <w:rsid w:val="00525BF4"/>
    <w:rsid w:val="00526542"/>
    <w:rsid w:val="00527AA9"/>
    <w:rsid w:val="0053137D"/>
    <w:rsid w:val="0053299D"/>
    <w:rsid w:val="0053321F"/>
    <w:rsid w:val="005366DE"/>
    <w:rsid w:val="0053747D"/>
    <w:rsid w:val="00537F14"/>
    <w:rsid w:val="00542A06"/>
    <w:rsid w:val="00543F93"/>
    <w:rsid w:val="005451D0"/>
    <w:rsid w:val="00545BF9"/>
    <w:rsid w:val="00552A7A"/>
    <w:rsid w:val="00553274"/>
    <w:rsid w:val="00554BAE"/>
    <w:rsid w:val="00554E4F"/>
    <w:rsid w:val="00557255"/>
    <w:rsid w:val="005638C4"/>
    <w:rsid w:val="00564B84"/>
    <w:rsid w:val="00566581"/>
    <w:rsid w:val="00567181"/>
    <w:rsid w:val="005677C4"/>
    <w:rsid w:val="005726B4"/>
    <w:rsid w:val="00573BDB"/>
    <w:rsid w:val="005804F6"/>
    <w:rsid w:val="00582043"/>
    <w:rsid w:val="00582381"/>
    <w:rsid w:val="00582A77"/>
    <w:rsid w:val="0058337A"/>
    <w:rsid w:val="00583CA8"/>
    <w:rsid w:val="005854A7"/>
    <w:rsid w:val="005859E2"/>
    <w:rsid w:val="00585DAC"/>
    <w:rsid w:val="00587790"/>
    <w:rsid w:val="00591D10"/>
    <w:rsid w:val="005936F4"/>
    <w:rsid w:val="0059527F"/>
    <w:rsid w:val="00595585"/>
    <w:rsid w:val="00596383"/>
    <w:rsid w:val="00597D4B"/>
    <w:rsid w:val="005A14BF"/>
    <w:rsid w:val="005A5320"/>
    <w:rsid w:val="005A5654"/>
    <w:rsid w:val="005A5C29"/>
    <w:rsid w:val="005B042B"/>
    <w:rsid w:val="005B05D6"/>
    <w:rsid w:val="005B2D4F"/>
    <w:rsid w:val="005B3A15"/>
    <w:rsid w:val="005B3CBC"/>
    <w:rsid w:val="005B4320"/>
    <w:rsid w:val="005B5818"/>
    <w:rsid w:val="005C7416"/>
    <w:rsid w:val="005D05FF"/>
    <w:rsid w:val="005D17C6"/>
    <w:rsid w:val="005D29C0"/>
    <w:rsid w:val="005D328A"/>
    <w:rsid w:val="005D4F44"/>
    <w:rsid w:val="005E0153"/>
    <w:rsid w:val="005E5127"/>
    <w:rsid w:val="005E5747"/>
    <w:rsid w:val="005F0A6E"/>
    <w:rsid w:val="005F0CA2"/>
    <w:rsid w:val="005F320E"/>
    <w:rsid w:val="005F45BE"/>
    <w:rsid w:val="005F5195"/>
    <w:rsid w:val="005F6F3D"/>
    <w:rsid w:val="0060113E"/>
    <w:rsid w:val="006018BD"/>
    <w:rsid w:val="006052A0"/>
    <w:rsid w:val="00605F62"/>
    <w:rsid w:val="00610586"/>
    <w:rsid w:val="006114CF"/>
    <w:rsid w:val="00612203"/>
    <w:rsid w:val="00612C53"/>
    <w:rsid w:val="00613024"/>
    <w:rsid w:val="00613710"/>
    <w:rsid w:val="00614050"/>
    <w:rsid w:val="00614590"/>
    <w:rsid w:val="00617F8A"/>
    <w:rsid w:val="006262EF"/>
    <w:rsid w:val="006264C0"/>
    <w:rsid w:val="00636AC0"/>
    <w:rsid w:val="00637717"/>
    <w:rsid w:val="00641095"/>
    <w:rsid w:val="00641599"/>
    <w:rsid w:val="0064245A"/>
    <w:rsid w:val="00643EF7"/>
    <w:rsid w:val="006445E6"/>
    <w:rsid w:val="00646B5C"/>
    <w:rsid w:val="00647FFC"/>
    <w:rsid w:val="0065009F"/>
    <w:rsid w:val="00650C8D"/>
    <w:rsid w:val="0065631B"/>
    <w:rsid w:val="00657F9D"/>
    <w:rsid w:val="006611D9"/>
    <w:rsid w:val="00661284"/>
    <w:rsid w:val="00663840"/>
    <w:rsid w:val="00666499"/>
    <w:rsid w:val="00666909"/>
    <w:rsid w:val="0066704E"/>
    <w:rsid w:val="0067188D"/>
    <w:rsid w:val="00673274"/>
    <w:rsid w:val="00673D86"/>
    <w:rsid w:val="00674E84"/>
    <w:rsid w:val="00675858"/>
    <w:rsid w:val="00680CE7"/>
    <w:rsid w:val="00680DED"/>
    <w:rsid w:val="00681735"/>
    <w:rsid w:val="00683D17"/>
    <w:rsid w:val="006850BC"/>
    <w:rsid w:val="0068632D"/>
    <w:rsid w:val="00686F0B"/>
    <w:rsid w:val="00687191"/>
    <w:rsid w:val="00690568"/>
    <w:rsid w:val="0069336C"/>
    <w:rsid w:val="00693C9D"/>
    <w:rsid w:val="00694E8A"/>
    <w:rsid w:val="00697A48"/>
    <w:rsid w:val="00697B75"/>
    <w:rsid w:val="006A1E64"/>
    <w:rsid w:val="006A7596"/>
    <w:rsid w:val="006A7967"/>
    <w:rsid w:val="006B0F64"/>
    <w:rsid w:val="006B3056"/>
    <w:rsid w:val="006C6580"/>
    <w:rsid w:val="006C6FB9"/>
    <w:rsid w:val="006C7B74"/>
    <w:rsid w:val="006D3AAC"/>
    <w:rsid w:val="006D4819"/>
    <w:rsid w:val="006D67C3"/>
    <w:rsid w:val="006D7521"/>
    <w:rsid w:val="006E327C"/>
    <w:rsid w:val="006E3C0D"/>
    <w:rsid w:val="006E480F"/>
    <w:rsid w:val="006E5961"/>
    <w:rsid w:val="006E7625"/>
    <w:rsid w:val="006E7824"/>
    <w:rsid w:val="006F1A71"/>
    <w:rsid w:val="006F230C"/>
    <w:rsid w:val="006F263C"/>
    <w:rsid w:val="006F280C"/>
    <w:rsid w:val="006F3041"/>
    <w:rsid w:val="006F4B71"/>
    <w:rsid w:val="006F796C"/>
    <w:rsid w:val="007003F3"/>
    <w:rsid w:val="00701045"/>
    <w:rsid w:val="00701EB0"/>
    <w:rsid w:val="00703045"/>
    <w:rsid w:val="007074F3"/>
    <w:rsid w:val="0071091D"/>
    <w:rsid w:val="007132E7"/>
    <w:rsid w:val="00715D53"/>
    <w:rsid w:val="00716DCA"/>
    <w:rsid w:val="0071767A"/>
    <w:rsid w:val="007242B9"/>
    <w:rsid w:val="00724986"/>
    <w:rsid w:val="00724C6C"/>
    <w:rsid w:val="00731C6E"/>
    <w:rsid w:val="00732647"/>
    <w:rsid w:val="00732F8A"/>
    <w:rsid w:val="00734FBE"/>
    <w:rsid w:val="0073586C"/>
    <w:rsid w:val="00740AE0"/>
    <w:rsid w:val="00743D32"/>
    <w:rsid w:val="00747D26"/>
    <w:rsid w:val="00752757"/>
    <w:rsid w:val="0075304D"/>
    <w:rsid w:val="00753D7F"/>
    <w:rsid w:val="00754200"/>
    <w:rsid w:val="007552DA"/>
    <w:rsid w:val="007568A5"/>
    <w:rsid w:val="00760656"/>
    <w:rsid w:val="0076543F"/>
    <w:rsid w:val="007667A2"/>
    <w:rsid w:val="00767A4D"/>
    <w:rsid w:val="00770572"/>
    <w:rsid w:val="007840B8"/>
    <w:rsid w:val="00784F27"/>
    <w:rsid w:val="00785E53"/>
    <w:rsid w:val="00786CE5"/>
    <w:rsid w:val="00787D51"/>
    <w:rsid w:val="00787DE8"/>
    <w:rsid w:val="00794674"/>
    <w:rsid w:val="0079508A"/>
    <w:rsid w:val="00795AB6"/>
    <w:rsid w:val="00796A9F"/>
    <w:rsid w:val="007A1F63"/>
    <w:rsid w:val="007A2295"/>
    <w:rsid w:val="007A2750"/>
    <w:rsid w:val="007A528F"/>
    <w:rsid w:val="007A70DF"/>
    <w:rsid w:val="007B07F6"/>
    <w:rsid w:val="007B0C8C"/>
    <w:rsid w:val="007B3956"/>
    <w:rsid w:val="007B3D56"/>
    <w:rsid w:val="007B6362"/>
    <w:rsid w:val="007B7276"/>
    <w:rsid w:val="007B78F9"/>
    <w:rsid w:val="007C07E4"/>
    <w:rsid w:val="007C1B2D"/>
    <w:rsid w:val="007C2426"/>
    <w:rsid w:val="007C31B7"/>
    <w:rsid w:val="007C6A94"/>
    <w:rsid w:val="007D09A2"/>
    <w:rsid w:val="007D1B18"/>
    <w:rsid w:val="007D3ECF"/>
    <w:rsid w:val="007D4606"/>
    <w:rsid w:val="007E0D95"/>
    <w:rsid w:val="007E106E"/>
    <w:rsid w:val="007E29B0"/>
    <w:rsid w:val="007E611A"/>
    <w:rsid w:val="007E7D34"/>
    <w:rsid w:val="007F038C"/>
    <w:rsid w:val="007F236E"/>
    <w:rsid w:val="007F2BEA"/>
    <w:rsid w:val="007F32FB"/>
    <w:rsid w:val="007F3833"/>
    <w:rsid w:val="007F39F0"/>
    <w:rsid w:val="007F4028"/>
    <w:rsid w:val="007F449B"/>
    <w:rsid w:val="007F5C70"/>
    <w:rsid w:val="0080006B"/>
    <w:rsid w:val="008012A8"/>
    <w:rsid w:val="00801A75"/>
    <w:rsid w:val="00802AF8"/>
    <w:rsid w:val="00807875"/>
    <w:rsid w:val="00810B62"/>
    <w:rsid w:val="00811C4B"/>
    <w:rsid w:val="008121FC"/>
    <w:rsid w:val="00813094"/>
    <w:rsid w:val="00813C3A"/>
    <w:rsid w:val="0081516E"/>
    <w:rsid w:val="00816E4B"/>
    <w:rsid w:val="00820894"/>
    <w:rsid w:val="00823C7D"/>
    <w:rsid w:val="008246DA"/>
    <w:rsid w:val="00825A82"/>
    <w:rsid w:val="00830951"/>
    <w:rsid w:val="0083279C"/>
    <w:rsid w:val="00832CB3"/>
    <w:rsid w:val="0083537E"/>
    <w:rsid w:val="0083745E"/>
    <w:rsid w:val="00841024"/>
    <w:rsid w:val="00841272"/>
    <w:rsid w:val="00842B1B"/>
    <w:rsid w:val="00847B84"/>
    <w:rsid w:val="00850543"/>
    <w:rsid w:val="00850C01"/>
    <w:rsid w:val="008510AD"/>
    <w:rsid w:val="00851AA1"/>
    <w:rsid w:val="00854446"/>
    <w:rsid w:val="0085496A"/>
    <w:rsid w:val="008549BD"/>
    <w:rsid w:val="00854D02"/>
    <w:rsid w:val="00855CA2"/>
    <w:rsid w:val="00855F6B"/>
    <w:rsid w:val="008576E1"/>
    <w:rsid w:val="00857F88"/>
    <w:rsid w:val="00862420"/>
    <w:rsid w:val="008627AA"/>
    <w:rsid w:val="008639EF"/>
    <w:rsid w:val="00864F64"/>
    <w:rsid w:val="008664F4"/>
    <w:rsid w:val="008667CF"/>
    <w:rsid w:val="00867B78"/>
    <w:rsid w:val="00871019"/>
    <w:rsid w:val="00871682"/>
    <w:rsid w:val="00873F1E"/>
    <w:rsid w:val="00874EC1"/>
    <w:rsid w:val="00875832"/>
    <w:rsid w:val="00880BCE"/>
    <w:rsid w:val="00881691"/>
    <w:rsid w:val="00884B41"/>
    <w:rsid w:val="00884DE4"/>
    <w:rsid w:val="008851B7"/>
    <w:rsid w:val="00887028"/>
    <w:rsid w:val="008878A1"/>
    <w:rsid w:val="0089277B"/>
    <w:rsid w:val="00892970"/>
    <w:rsid w:val="00895B66"/>
    <w:rsid w:val="008965EB"/>
    <w:rsid w:val="00897240"/>
    <w:rsid w:val="00897262"/>
    <w:rsid w:val="008A097E"/>
    <w:rsid w:val="008A0B50"/>
    <w:rsid w:val="008A209B"/>
    <w:rsid w:val="008A2119"/>
    <w:rsid w:val="008A347D"/>
    <w:rsid w:val="008A3A8F"/>
    <w:rsid w:val="008A5719"/>
    <w:rsid w:val="008A587A"/>
    <w:rsid w:val="008A5891"/>
    <w:rsid w:val="008A7E01"/>
    <w:rsid w:val="008B1CD4"/>
    <w:rsid w:val="008B1EE5"/>
    <w:rsid w:val="008B33BC"/>
    <w:rsid w:val="008B35BC"/>
    <w:rsid w:val="008B3AB0"/>
    <w:rsid w:val="008B4070"/>
    <w:rsid w:val="008C3193"/>
    <w:rsid w:val="008C3A97"/>
    <w:rsid w:val="008C5742"/>
    <w:rsid w:val="008D07B7"/>
    <w:rsid w:val="008D1060"/>
    <w:rsid w:val="008D2244"/>
    <w:rsid w:val="008D5434"/>
    <w:rsid w:val="008D60CA"/>
    <w:rsid w:val="008D6A5A"/>
    <w:rsid w:val="008D6AEC"/>
    <w:rsid w:val="008E0CA6"/>
    <w:rsid w:val="008E1241"/>
    <w:rsid w:val="008E25A2"/>
    <w:rsid w:val="008E26ED"/>
    <w:rsid w:val="008E5C78"/>
    <w:rsid w:val="008E6388"/>
    <w:rsid w:val="008F24AF"/>
    <w:rsid w:val="008F2A0F"/>
    <w:rsid w:val="008F2FCC"/>
    <w:rsid w:val="008F45C8"/>
    <w:rsid w:val="008F4AED"/>
    <w:rsid w:val="008F6DF1"/>
    <w:rsid w:val="009002AA"/>
    <w:rsid w:val="00901F41"/>
    <w:rsid w:val="00902B48"/>
    <w:rsid w:val="009071AA"/>
    <w:rsid w:val="00912FA2"/>
    <w:rsid w:val="009134C0"/>
    <w:rsid w:val="0091691A"/>
    <w:rsid w:val="00920945"/>
    <w:rsid w:val="00921248"/>
    <w:rsid w:val="00921FA5"/>
    <w:rsid w:val="00922125"/>
    <w:rsid w:val="00923187"/>
    <w:rsid w:val="009264E8"/>
    <w:rsid w:val="00926A11"/>
    <w:rsid w:val="00927179"/>
    <w:rsid w:val="00930216"/>
    <w:rsid w:val="00932723"/>
    <w:rsid w:val="009335F1"/>
    <w:rsid w:val="00934613"/>
    <w:rsid w:val="0093535C"/>
    <w:rsid w:val="00935DC9"/>
    <w:rsid w:val="00937317"/>
    <w:rsid w:val="0094126E"/>
    <w:rsid w:val="009413B3"/>
    <w:rsid w:val="00941C5F"/>
    <w:rsid w:val="00943B02"/>
    <w:rsid w:val="00947976"/>
    <w:rsid w:val="009505CD"/>
    <w:rsid w:val="00951F2F"/>
    <w:rsid w:val="009524E3"/>
    <w:rsid w:val="00953779"/>
    <w:rsid w:val="0095393D"/>
    <w:rsid w:val="00957A03"/>
    <w:rsid w:val="009604B5"/>
    <w:rsid w:val="0096128C"/>
    <w:rsid w:val="009614D9"/>
    <w:rsid w:val="00962A5C"/>
    <w:rsid w:val="00963E11"/>
    <w:rsid w:val="009657C2"/>
    <w:rsid w:val="0096588E"/>
    <w:rsid w:val="0096645D"/>
    <w:rsid w:val="00966A49"/>
    <w:rsid w:val="009705E3"/>
    <w:rsid w:val="009707CB"/>
    <w:rsid w:val="00971609"/>
    <w:rsid w:val="009718F2"/>
    <w:rsid w:val="00971E7C"/>
    <w:rsid w:val="00972904"/>
    <w:rsid w:val="00981882"/>
    <w:rsid w:val="009830CD"/>
    <w:rsid w:val="00983DE7"/>
    <w:rsid w:val="00987527"/>
    <w:rsid w:val="009876F8"/>
    <w:rsid w:val="009916D7"/>
    <w:rsid w:val="009964CF"/>
    <w:rsid w:val="009972B0"/>
    <w:rsid w:val="009A02DF"/>
    <w:rsid w:val="009A10E8"/>
    <w:rsid w:val="009A2625"/>
    <w:rsid w:val="009A2EC1"/>
    <w:rsid w:val="009A31DF"/>
    <w:rsid w:val="009A635C"/>
    <w:rsid w:val="009A7BFB"/>
    <w:rsid w:val="009A7F8F"/>
    <w:rsid w:val="009B3246"/>
    <w:rsid w:val="009B3E92"/>
    <w:rsid w:val="009B3F15"/>
    <w:rsid w:val="009B480F"/>
    <w:rsid w:val="009B5662"/>
    <w:rsid w:val="009C08CF"/>
    <w:rsid w:val="009C0ACA"/>
    <w:rsid w:val="009C3AA7"/>
    <w:rsid w:val="009C3B80"/>
    <w:rsid w:val="009C4815"/>
    <w:rsid w:val="009C5709"/>
    <w:rsid w:val="009D3841"/>
    <w:rsid w:val="009D4765"/>
    <w:rsid w:val="009D4D66"/>
    <w:rsid w:val="009D6D23"/>
    <w:rsid w:val="009E4109"/>
    <w:rsid w:val="009E4686"/>
    <w:rsid w:val="009E646C"/>
    <w:rsid w:val="009E65A6"/>
    <w:rsid w:val="009E72E5"/>
    <w:rsid w:val="009F1638"/>
    <w:rsid w:val="009F6E09"/>
    <w:rsid w:val="00A008B5"/>
    <w:rsid w:val="00A02F75"/>
    <w:rsid w:val="00A05F01"/>
    <w:rsid w:val="00A103B2"/>
    <w:rsid w:val="00A106D5"/>
    <w:rsid w:val="00A11D9C"/>
    <w:rsid w:val="00A12E4A"/>
    <w:rsid w:val="00A158B7"/>
    <w:rsid w:val="00A163BE"/>
    <w:rsid w:val="00A17867"/>
    <w:rsid w:val="00A1794D"/>
    <w:rsid w:val="00A2070E"/>
    <w:rsid w:val="00A21F28"/>
    <w:rsid w:val="00A2397C"/>
    <w:rsid w:val="00A24CBE"/>
    <w:rsid w:val="00A2526A"/>
    <w:rsid w:val="00A2596D"/>
    <w:rsid w:val="00A25CA2"/>
    <w:rsid w:val="00A3057C"/>
    <w:rsid w:val="00A30D7B"/>
    <w:rsid w:val="00A316CE"/>
    <w:rsid w:val="00A31848"/>
    <w:rsid w:val="00A319BD"/>
    <w:rsid w:val="00A31FAC"/>
    <w:rsid w:val="00A340EA"/>
    <w:rsid w:val="00A36319"/>
    <w:rsid w:val="00A37431"/>
    <w:rsid w:val="00A379CA"/>
    <w:rsid w:val="00A40677"/>
    <w:rsid w:val="00A411CF"/>
    <w:rsid w:val="00A44777"/>
    <w:rsid w:val="00A45A71"/>
    <w:rsid w:val="00A503E9"/>
    <w:rsid w:val="00A50643"/>
    <w:rsid w:val="00A5371A"/>
    <w:rsid w:val="00A53F8E"/>
    <w:rsid w:val="00A54B8A"/>
    <w:rsid w:val="00A54E99"/>
    <w:rsid w:val="00A56543"/>
    <w:rsid w:val="00A579EF"/>
    <w:rsid w:val="00A61EB0"/>
    <w:rsid w:val="00A6700B"/>
    <w:rsid w:val="00A67EF0"/>
    <w:rsid w:val="00A702E9"/>
    <w:rsid w:val="00A7045B"/>
    <w:rsid w:val="00A715E7"/>
    <w:rsid w:val="00A73F80"/>
    <w:rsid w:val="00A74336"/>
    <w:rsid w:val="00A74D66"/>
    <w:rsid w:val="00A76947"/>
    <w:rsid w:val="00A779E1"/>
    <w:rsid w:val="00A77DE8"/>
    <w:rsid w:val="00A81563"/>
    <w:rsid w:val="00A82F1E"/>
    <w:rsid w:val="00A84D7A"/>
    <w:rsid w:val="00A8686D"/>
    <w:rsid w:val="00A91E7F"/>
    <w:rsid w:val="00A936DA"/>
    <w:rsid w:val="00A94DFF"/>
    <w:rsid w:val="00A95EB7"/>
    <w:rsid w:val="00A974DB"/>
    <w:rsid w:val="00A977C6"/>
    <w:rsid w:val="00A977D1"/>
    <w:rsid w:val="00AA16C4"/>
    <w:rsid w:val="00AA2405"/>
    <w:rsid w:val="00AA24DE"/>
    <w:rsid w:val="00AA5EAB"/>
    <w:rsid w:val="00AA71EF"/>
    <w:rsid w:val="00AA74DF"/>
    <w:rsid w:val="00AA7678"/>
    <w:rsid w:val="00AB1B11"/>
    <w:rsid w:val="00AB1C01"/>
    <w:rsid w:val="00AB1F41"/>
    <w:rsid w:val="00AB3DBB"/>
    <w:rsid w:val="00AB455C"/>
    <w:rsid w:val="00AB5C60"/>
    <w:rsid w:val="00AB706B"/>
    <w:rsid w:val="00AC024A"/>
    <w:rsid w:val="00AC201D"/>
    <w:rsid w:val="00AC36D2"/>
    <w:rsid w:val="00AC6BD9"/>
    <w:rsid w:val="00AD00EF"/>
    <w:rsid w:val="00AD05B7"/>
    <w:rsid w:val="00AD0A64"/>
    <w:rsid w:val="00AD388E"/>
    <w:rsid w:val="00AD3DE1"/>
    <w:rsid w:val="00AE096D"/>
    <w:rsid w:val="00AE23CB"/>
    <w:rsid w:val="00AE6081"/>
    <w:rsid w:val="00AE60E8"/>
    <w:rsid w:val="00AF0449"/>
    <w:rsid w:val="00AF0E9C"/>
    <w:rsid w:val="00AF2556"/>
    <w:rsid w:val="00AF47A8"/>
    <w:rsid w:val="00AF60B1"/>
    <w:rsid w:val="00B00F63"/>
    <w:rsid w:val="00B02906"/>
    <w:rsid w:val="00B032EF"/>
    <w:rsid w:val="00B03CE4"/>
    <w:rsid w:val="00B07B6F"/>
    <w:rsid w:val="00B10AC9"/>
    <w:rsid w:val="00B11E2D"/>
    <w:rsid w:val="00B12323"/>
    <w:rsid w:val="00B12578"/>
    <w:rsid w:val="00B15851"/>
    <w:rsid w:val="00B16C8B"/>
    <w:rsid w:val="00B17040"/>
    <w:rsid w:val="00B1772B"/>
    <w:rsid w:val="00B20FE4"/>
    <w:rsid w:val="00B21FF0"/>
    <w:rsid w:val="00B22446"/>
    <w:rsid w:val="00B224D3"/>
    <w:rsid w:val="00B23756"/>
    <w:rsid w:val="00B23A03"/>
    <w:rsid w:val="00B2440C"/>
    <w:rsid w:val="00B301D3"/>
    <w:rsid w:val="00B34789"/>
    <w:rsid w:val="00B36F8A"/>
    <w:rsid w:val="00B4146F"/>
    <w:rsid w:val="00B41693"/>
    <w:rsid w:val="00B454AF"/>
    <w:rsid w:val="00B47608"/>
    <w:rsid w:val="00B50F3E"/>
    <w:rsid w:val="00B549B2"/>
    <w:rsid w:val="00B564AE"/>
    <w:rsid w:val="00B56F3B"/>
    <w:rsid w:val="00B57D8A"/>
    <w:rsid w:val="00B62FDD"/>
    <w:rsid w:val="00B64E12"/>
    <w:rsid w:val="00B666CD"/>
    <w:rsid w:val="00B66E0D"/>
    <w:rsid w:val="00B67CF3"/>
    <w:rsid w:val="00B67FE0"/>
    <w:rsid w:val="00B71862"/>
    <w:rsid w:val="00B72839"/>
    <w:rsid w:val="00B741CB"/>
    <w:rsid w:val="00B746D4"/>
    <w:rsid w:val="00B74F30"/>
    <w:rsid w:val="00B754E0"/>
    <w:rsid w:val="00B75D56"/>
    <w:rsid w:val="00B77E53"/>
    <w:rsid w:val="00B80A08"/>
    <w:rsid w:val="00B819D8"/>
    <w:rsid w:val="00B81FEF"/>
    <w:rsid w:val="00B821AC"/>
    <w:rsid w:val="00B8259F"/>
    <w:rsid w:val="00B82C68"/>
    <w:rsid w:val="00B836B8"/>
    <w:rsid w:val="00B85230"/>
    <w:rsid w:val="00B860AE"/>
    <w:rsid w:val="00B905F9"/>
    <w:rsid w:val="00B9463A"/>
    <w:rsid w:val="00B94C3F"/>
    <w:rsid w:val="00B959D1"/>
    <w:rsid w:val="00B9700E"/>
    <w:rsid w:val="00BA0D83"/>
    <w:rsid w:val="00BA51CB"/>
    <w:rsid w:val="00BA5B85"/>
    <w:rsid w:val="00BA69D8"/>
    <w:rsid w:val="00BB1F8C"/>
    <w:rsid w:val="00BB4952"/>
    <w:rsid w:val="00BB5B3D"/>
    <w:rsid w:val="00BB61A7"/>
    <w:rsid w:val="00BB646B"/>
    <w:rsid w:val="00BC1694"/>
    <w:rsid w:val="00BC45E6"/>
    <w:rsid w:val="00BC517D"/>
    <w:rsid w:val="00BC6889"/>
    <w:rsid w:val="00BD0748"/>
    <w:rsid w:val="00BD26C4"/>
    <w:rsid w:val="00BD2AA0"/>
    <w:rsid w:val="00BD3602"/>
    <w:rsid w:val="00BD5528"/>
    <w:rsid w:val="00BD706F"/>
    <w:rsid w:val="00BD7419"/>
    <w:rsid w:val="00BD77F0"/>
    <w:rsid w:val="00BD7C71"/>
    <w:rsid w:val="00BE048F"/>
    <w:rsid w:val="00BE1E81"/>
    <w:rsid w:val="00BE2B0C"/>
    <w:rsid w:val="00BE3F05"/>
    <w:rsid w:val="00BE47F4"/>
    <w:rsid w:val="00BE4D0C"/>
    <w:rsid w:val="00BE7119"/>
    <w:rsid w:val="00BF0A31"/>
    <w:rsid w:val="00BF1DC6"/>
    <w:rsid w:val="00BF2093"/>
    <w:rsid w:val="00BF24CE"/>
    <w:rsid w:val="00BF63FD"/>
    <w:rsid w:val="00C00940"/>
    <w:rsid w:val="00C0111F"/>
    <w:rsid w:val="00C072CC"/>
    <w:rsid w:val="00C10BB2"/>
    <w:rsid w:val="00C1234B"/>
    <w:rsid w:val="00C13B8F"/>
    <w:rsid w:val="00C1403E"/>
    <w:rsid w:val="00C157AA"/>
    <w:rsid w:val="00C2082A"/>
    <w:rsid w:val="00C21C7C"/>
    <w:rsid w:val="00C23753"/>
    <w:rsid w:val="00C31D99"/>
    <w:rsid w:val="00C320D0"/>
    <w:rsid w:val="00C33C41"/>
    <w:rsid w:val="00C34A7F"/>
    <w:rsid w:val="00C373F9"/>
    <w:rsid w:val="00C3777A"/>
    <w:rsid w:val="00C37CA6"/>
    <w:rsid w:val="00C40B5F"/>
    <w:rsid w:val="00C4344A"/>
    <w:rsid w:val="00C43EA4"/>
    <w:rsid w:val="00C44871"/>
    <w:rsid w:val="00C477FE"/>
    <w:rsid w:val="00C50967"/>
    <w:rsid w:val="00C5170F"/>
    <w:rsid w:val="00C51E45"/>
    <w:rsid w:val="00C52F87"/>
    <w:rsid w:val="00C557F0"/>
    <w:rsid w:val="00C577A2"/>
    <w:rsid w:val="00C57A68"/>
    <w:rsid w:val="00C60FBC"/>
    <w:rsid w:val="00C61656"/>
    <w:rsid w:val="00C62242"/>
    <w:rsid w:val="00C64319"/>
    <w:rsid w:val="00C654F2"/>
    <w:rsid w:val="00C70FA6"/>
    <w:rsid w:val="00C72655"/>
    <w:rsid w:val="00C74D01"/>
    <w:rsid w:val="00C77E87"/>
    <w:rsid w:val="00C8004D"/>
    <w:rsid w:val="00C842CE"/>
    <w:rsid w:val="00C8785F"/>
    <w:rsid w:val="00C95C5F"/>
    <w:rsid w:val="00C95C96"/>
    <w:rsid w:val="00C9653E"/>
    <w:rsid w:val="00CA151A"/>
    <w:rsid w:val="00CA2942"/>
    <w:rsid w:val="00CA3A8E"/>
    <w:rsid w:val="00CA4C2B"/>
    <w:rsid w:val="00CA5638"/>
    <w:rsid w:val="00CA5AA6"/>
    <w:rsid w:val="00CA629E"/>
    <w:rsid w:val="00CA6391"/>
    <w:rsid w:val="00CB1407"/>
    <w:rsid w:val="00CB6D44"/>
    <w:rsid w:val="00CC0BA4"/>
    <w:rsid w:val="00CC1A96"/>
    <w:rsid w:val="00CC5150"/>
    <w:rsid w:val="00CC6919"/>
    <w:rsid w:val="00CD4213"/>
    <w:rsid w:val="00CD741F"/>
    <w:rsid w:val="00CE26CA"/>
    <w:rsid w:val="00CE2EA2"/>
    <w:rsid w:val="00CF0454"/>
    <w:rsid w:val="00CF08C4"/>
    <w:rsid w:val="00CF494A"/>
    <w:rsid w:val="00CF6D1F"/>
    <w:rsid w:val="00D00CCE"/>
    <w:rsid w:val="00D00FFE"/>
    <w:rsid w:val="00D03E81"/>
    <w:rsid w:val="00D03FFA"/>
    <w:rsid w:val="00D150BB"/>
    <w:rsid w:val="00D15423"/>
    <w:rsid w:val="00D155B6"/>
    <w:rsid w:val="00D1616B"/>
    <w:rsid w:val="00D21998"/>
    <w:rsid w:val="00D228EB"/>
    <w:rsid w:val="00D23A57"/>
    <w:rsid w:val="00D26465"/>
    <w:rsid w:val="00D26955"/>
    <w:rsid w:val="00D279F0"/>
    <w:rsid w:val="00D304BE"/>
    <w:rsid w:val="00D37006"/>
    <w:rsid w:val="00D372A8"/>
    <w:rsid w:val="00D407FC"/>
    <w:rsid w:val="00D41BEE"/>
    <w:rsid w:val="00D45ABC"/>
    <w:rsid w:val="00D5091D"/>
    <w:rsid w:val="00D53D0F"/>
    <w:rsid w:val="00D54DF2"/>
    <w:rsid w:val="00D6071A"/>
    <w:rsid w:val="00D61FA2"/>
    <w:rsid w:val="00D62D32"/>
    <w:rsid w:val="00D67434"/>
    <w:rsid w:val="00D70119"/>
    <w:rsid w:val="00D70326"/>
    <w:rsid w:val="00D704E2"/>
    <w:rsid w:val="00D7179C"/>
    <w:rsid w:val="00D75205"/>
    <w:rsid w:val="00D80BC7"/>
    <w:rsid w:val="00D810A9"/>
    <w:rsid w:val="00D815DC"/>
    <w:rsid w:val="00D84A48"/>
    <w:rsid w:val="00D853A5"/>
    <w:rsid w:val="00D86EAF"/>
    <w:rsid w:val="00D91784"/>
    <w:rsid w:val="00D9331D"/>
    <w:rsid w:val="00D94496"/>
    <w:rsid w:val="00D960F1"/>
    <w:rsid w:val="00DA2CB6"/>
    <w:rsid w:val="00DA4463"/>
    <w:rsid w:val="00DA618A"/>
    <w:rsid w:val="00DA7B1B"/>
    <w:rsid w:val="00DB0B77"/>
    <w:rsid w:val="00DB0D82"/>
    <w:rsid w:val="00DB6E5F"/>
    <w:rsid w:val="00DC06D9"/>
    <w:rsid w:val="00DC13A6"/>
    <w:rsid w:val="00DC386E"/>
    <w:rsid w:val="00DC3A5C"/>
    <w:rsid w:val="00DC4105"/>
    <w:rsid w:val="00DC573A"/>
    <w:rsid w:val="00DC6A7D"/>
    <w:rsid w:val="00DD0F2D"/>
    <w:rsid w:val="00DD0F39"/>
    <w:rsid w:val="00DD159D"/>
    <w:rsid w:val="00DD1FC4"/>
    <w:rsid w:val="00DD3989"/>
    <w:rsid w:val="00DD3CDE"/>
    <w:rsid w:val="00DD5FB3"/>
    <w:rsid w:val="00DD71C6"/>
    <w:rsid w:val="00DD73C4"/>
    <w:rsid w:val="00DD7876"/>
    <w:rsid w:val="00DD7941"/>
    <w:rsid w:val="00DE2AE7"/>
    <w:rsid w:val="00DE35FB"/>
    <w:rsid w:val="00DE39B9"/>
    <w:rsid w:val="00DE6434"/>
    <w:rsid w:val="00DE64BA"/>
    <w:rsid w:val="00DE7188"/>
    <w:rsid w:val="00DF1FB2"/>
    <w:rsid w:val="00DF39CF"/>
    <w:rsid w:val="00E0218E"/>
    <w:rsid w:val="00E025B7"/>
    <w:rsid w:val="00E028E0"/>
    <w:rsid w:val="00E04C2F"/>
    <w:rsid w:val="00E060D3"/>
    <w:rsid w:val="00E1020A"/>
    <w:rsid w:val="00E1028D"/>
    <w:rsid w:val="00E10872"/>
    <w:rsid w:val="00E12C68"/>
    <w:rsid w:val="00E1391B"/>
    <w:rsid w:val="00E13D18"/>
    <w:rsid w:val="00E14F54"/>
    <w:rsid w:val="00E15EF5"/>
    <w:rsid w:val="00E1646E"/>
    <w:rsid w:val="00E17C0B"/>
    <w:rsid w:val="00E20253"/>
    <w:rsid w:val="00E21A52"/>
    <w:rsid w:val="00E2736D"/>
    <w:rsid w:val="00E27A6F"/>
    <w:rsid w:val="00E30D6F"/>
    <w:rsid w:val="00E31788"/>
    <w:rsid w:val="00E31C95"/>
    <w:rsid w:val="00E321DE"/>
    <w:rsid w:val="00E36DB8"/>
    <w:rsid w:val="00E37EEA"/>
    <w:rsid w:val="00E37FB3"/>
    <w:rsid w:val="00E43EB2"/>
    <w:rsid w:val="00E456BE"/>
    <w:rsid w:val="00E46135"/>
    <w:rsid w:val="00E50899"/>
    <w:rsid w:val="00E50968"/>
    <w:rsid w:val="00E51E0B"/>
    <w:rsid w:val="00E52D91"/>
    <w:rsid w:val="00E5394A"/>
    <w:rsid w:val="00E553AC"/>
    <w:rsid w:val="00E55624"/>
    <w:rsid w:val="00E559A3"/>
    <w:rsid w:val="00E57949"/>
    <w:rsid w:val="00E61353"/>
    <w:rsid w:val="00E6165F"/>
    <w:rsid w:val="00E61944"/>
    <w:rsid w:val="00E61EEC"/>
    <w:rsid w:val="00E62722"/>
    <w:rsid w:val="00E62D80"/>
    <w:rsid w:val="00E6360A"/>
    <w:rsid w:val="00E665E8"/>
    <w:rsid w:val="00E671CD"/>
    <w:rsid w:val="00E70E89"/>
    <w:rsid w:val="00E733A7"/>
    <w:rsid w:val="00E73A15"/>
    <w:rsid w:val="00E73CCB"/>
    <w:rsid w:val="00E77449"/>
    <w:rsid w:val="00E77886"/>
    <w:rsid w:val="00E77F1E"/>
    <w:rsid w:val="00E77FD1"/>
    <w:rsid w:val="00E81619"/>
    <w:rsid w:val="00E82570"/>
    <w:rsid w:val="00E8422B"/>
    <w:rsid w:val="00E87F25"/>
    <w:rsid w:val="00E90A71"/>
    <w:rsid w:val="00E92202"/>
    <w:rsid w:val="00E92923"/>
    <w:rsid w:val="00E92DF1"/>
    <w:rsid w:val="00E96CDC"/>
    <w:rsid w:val="00EA030E"/>
    <w:rsid w:val="00EA12A3"/>
    <w:rsid w:val="00EA163A"/>
    <w:rsid w:val="00EA199C"/>
    <w:rsid w:val="00EA31B4"/>
    <w:rsid w:val="00EA33BA"/>
    <w:rsid w:val="00EA35B5"/>
    <w:rsid w:val="00EA36E3"/>
    <w:rsid w:val="00EA3CFA"/>
    <w:rsid w:val="00EA612C"/>
    <w:rsid w:val="00EB2885"/>
    <w:rsid w:val="00EB295F"/>
    <w:rsid w:val="00EB3288"/>
    <w:rsid w:val="00EB6A27"/>
    <w:rsid w:val="00EB6BDA"/>
    <w:rsid w:val="00EB7290"/>
    <w:rsid w:val="00EC046E"/>
    <w:rsid w:val="00EC1A47"/>
    <w:rsid w:val="00EC4B05"/>
    <w:rsid w:val="00EC5076"/>
    <w:rsid w:val="00EC51E6"/>
    <w:rsid w:val="00EC5599"/>
    <w:rsid w:val="00ED1C57"/>
    <w:rsid w:val="00ED2A57"/>
    <w:rsid w:val="00ED2F6E"/>
    <w:rsid w:val="00ED3562"/>
    <w:rsid w:val="00ED4368"/>
    <w:rsid w:val="00ED471F"/>
    <w:rsid w:val="00ED515F"/>
    <w:rsid w:val="00ED62A9"/>
    <w:rsid w:val="00ED6995"/>
    <w:rsid w:val="00ED7F61"/>
    <w:rsid w:val="00EE0AB4"/>
    <w:rsid w:val="00EE23A0"/>
    <w:rsid w:val="00EE2CB7"/>
    <w:rsid w:val="00EE33EB"/>
    <w:rsid w:val="00EE72AC"/>
    <w:rsid w:val="00EF173E"/>
    <w:rsid w:val="00EF248D"/>
    <w:rsid w:val="00EF284F"/>
    <w:rsid w:val="00EF3EF9"/>
    <w:rsid w:val="00EF5FB5"/>
    <w:rsid w:val="00F004E0"/>
    <w:rsid w:val="00F01F45"/>
    <w:rsid w:val="00F032D4"/>
    <w:rsid w:val="00F0465F"/>
    <w:rsid w:val="00F106E5"/>
    <w:rsid w:val="00F10965"/>
    <w:rsid w:val="00F15BE9"/>
    <w:rsid w:val="00F1758A"/>
    <w:rsid w:val="00F23E0A"/>
    <w:rsid w:val="00F34D73"/>
    <w:rsid w:val="00F37372"/>
    <w:rsid w:val="00F379E7"/>
    <w:rsid w:val="00F41F6A"/>
    <w:rsid w:val="00F43D3B"/>
    <w:rsid w:val="00F45B64"/>
    <w:rsid w:val="00F463D7"/>
    <w:rsid w:val="00F47D1C"/>
    <w:rsid w:val="00F50211"/>
    <w:rsid w:val="00F51126"/>
    <w:rsid w:val="00F5152A"/>
    <w:rsid w:val="00F541EA"/>
    <w:rsid w:val="00F556D4"/>
    <w:rsid w:val="00F601EF"/>
    <w:rsid w:val="00F60CB2"/>
    <w:rsid w:val="00F638F5"/>
    <w:rsid w:val="00F654FD"/>
    <w:rsid w:val="00F656B3"/>
    <w:rsid w:val="00F65B7C"/>
    <w:rsid w:val="00F67198"/>
    <w:rsid w:val="00F7060C"/>
    <w:rsid w:val="00F725E2"/>
    <w:rsid w:val="00F74F48"/>
    <w:rsid w:val="00F768D2"/>
    <w:rsid w:val="00F777DF"/>
    <w:rsid w:val="00F81196"/>
    <w:rsid w:val="00F816C8"/>
    <w:rsid w:val="00F83700"/>
    <w:rsid w:val="00F83D7C"/>
    <w:rsid w:val="00F85019"/>
    <w:rsid w:val="00F86854"/>
    <w:rsid w:val="00F87F2E"/>
    <w:rsid w:val="00F90833"/>
    <w:rsid w:val="00F93EB4"/>
    <w:rsid w:val="00F945EA"/>
    <w:rsid w:val="00FA15FE"/>
    <w:rsid w:val="00FA2E9A"/>
    <w:rsid w:val="00FA2ECE"/>
    <w:rsid w:val="00FA3479"/>
    <w:rsid w:val="00FA5E20"/>
    <w:rsid w:val="00FB1324"/>
    <w:rsid w:val="00FB22F9"/>
    <w:rsid w:val="00FB2D0F"/>
    <w:rsid w:val="00FB2D34"/>
    <w:rsid w:val="00FB42F4"/>
    <w:rsid w:val="00FB6466"/>
    <w:rsid w:val="00FC0BFD"/>
    <w:rsid w:val="00FC1627"/>
    <w:rsid w:val="00FC1BD9"/>
    <w:rsid w:val="00FC55DF"/>
    <w:rsid w:val="00FD107C"/>
    <w:rsid w:val="00FD1093"/>
    <w:rsid w:val="00FD2AE2"/>
    <w:rsid w:val="00FD3396"/>
    <w:rsid w:val="00FD36CA"/>
    <w:rsid w:val="00FD442A"/>
    <w:rsid w:val="00FE2C1B"/>
    <w:rsid w:val="00FE33FE"/>
    <w:rsid w:val="00FE368D"/>
    <w:rsid w:val="00FE39B4"/>
    <w:rsid w:val="00FE4F17"/>
    <w:rsid w:val="00FE5EBB"/>
    <w:rsid w:val="00FE6769"/>
    <w:rsid w:val="00FE6F83"/>
    <w:rsid w:val="00FF1725"/>
    <w:rsid w:val="00FF2E89"/>
    <w:rsid w:val="00FF2F77"/>
    <w:rsid w:val="00FF3537"/>
    <w:rsid w:val="00FF5EC7"/>
    <w:rsid w:val="00FF6334"/>
    <w:rsid w:val="00FF6C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C740D"/>
  <w15:chartTrackingRefBased/>
  <w15:docId w15:val="{1707EE93-4AC9-4C42-9A2F-8D84C9EDF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301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B301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rsid w:val="00B301D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301D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301D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301D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301D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301D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301D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301D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B301D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rsid w:val="00B301D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301D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301D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301D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301D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301D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301D3"/>
    <w:rPr>
      <w:rFonts w:eastAsiaTheme="majorEastAsia" w:cstheme="majorBidi"/>
      <w:color w:val="272727" w:themeColor="text1" w:themeTint="D8"/>
    </w:rPr>
  </w:style>
  <w:style w:type="paragraph" w:styleId="Titolo">
    <w:name w:val="Title"/>
    <w:basedOn w:val="Normale"/>
    <w:next w:val="Normale"/>
    <w:link w:val="TitoloCarattere"/>
    <w:uiPriority w:val="10"/>
    <w:qFormat/>
    <w:rsid w:val="00B301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301D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301D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301D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301D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301D3"/>
    <w:rPr>
      <w:i/>
      <w:iCs/>
      <w:color w:val="404040" w:themeColor="text1" w:themeTint="BF"/>
    </w:rPr>
  </w:style>
  <w:style w:type="paragraph" w:styleId="Paragrafoelenco">
    <w:name w:val="List Paragraph"/>
    <w:basedOn w:val="Normale"/>
    <w:uiPriority w:val="34"/>
    <w:qFormat/>
    <w:rsid w:val="00B301D3"/>
    <w:pPr>
      <w:ind w:left="720"/>
      <w:contextualSpacing/>
    </w:pPr>
  </w:style>
  <w:style w:type="character" w:styleId="Enfasiintensa">
    <w:name w:val="Intense Emphasis"/>
    <w:basedOn w:val="Carpredefinitoparagrafo"/>
    <w:uiPriority w:val="21"/>
    <w:qFormat/>
    <w:rsid w:val="00B301D3"/>
    <w:rPr>
      <w:i/>
      <w:iCs/>
      <w:color w:val="0F4761" w:themeColor="accent1" w:themeShade="BF"/>
    </w:rPr>
  </w:style>
  <w:style w:type="paragraph" w:styleId="Citazioneintensa">
    <w:name w:val="Intense Quote"/>
    <w:basedOn w:val="Normale"/>
    <w:next w:val="Normale"/>
    <w:link w:val="CitazioneintensaCarattere"/>
    <w:uiPriority w:val="30"/>
    <w:qFormat/>
    <w:rsid w:val="00B301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301D3"/>
    <w:rPr>
      <w:i/>
      <w:iCs/>
      <w:color w:val="0F4761" w:themeColor="accent1" w:themeShade="BF"/>
    </w:rPr>
  </w:style>
  <w:style w:type="character" w:styleId="Riferimentointenso">
    <w:name w:val="Intense Reference"/>
    <w:basedOn w:val="Carpredefinitoparagrafo"/>
    <w:uiPriority w:val="32"/>
    <w:qFormat/>
    <w:rsid w:val="00B301D3"/>
    <w:rPr>
      <w:b/>
      <w:bCs/>
      <w:smallCaps/>
      <w:color w:val="0F4761" w:themeColor="accent1" w:themeShade="BF"/>
      <w:spacing w:val="5"/>
    </w:rPr>
  </w:style>
  <w:style w:type="table" w:styleId="Grigliatabella">
    <w:name w:val="Table Grid"/>
    <w:basedOn w:val="Tabellanormale"/>
    <w:uiPriority w:val="39"/>
    <w:rsid w:val="00971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18185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8185A"/>
  </w:style>
  <w:style w:type="paragraph" w:styleId="Pidipagina">
    <w:name w:val="footer"/>
    <w:basedOn w:val="Normale"/>
    <w:link w:val="PidipaginaCarattere"/>
    <w:uiPriority w:val="99"/>
    <w:unhideWhenUsed/>
    <w:rsid w:val="0018185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8185A"/>
  </w:style>
  <w:style w:type="paragraph" w:styleId="Titolosommario">
    <w:name w:val="TOC Heading"/>
    <w:basedOn w:val="Titolo1"/>
    <w:next w:val="Normale"/>
    <w:uiPriority w:val="39"/>
    <w:unhideWhenUsed/>
    <w:qFormat/>
    <w:rsid w:val="002940CC"/>
    <w:pPr>
      <w:spacing w:before="240" w:after="0"/>
      <w:outlineLvl w:val="9"/>
    </w:pPr>
    <w:rPr>
      <w:kern w:val="0"/>
      <w:sz w:val="32"/>
      <w:szCs w:val="32"/>
      <w:lang w:eastAsia="it-IT"/>
      <w14:ligatures w14:val="none"/>
    </w:rPr>
  </w:style>
  <w:style w:type="paragraph" w:styleId="Sommario2">
    <w:name w:val="toc 2"/>
    <w:basedOn w:val="Normale"/>
    <w:next w:val="Normale"/>
    <w:autoRedefine/>
    <w:uiPriority w:val="39"/>
    <w:unhideWhenUsed/>
    <w:rsid w:val="002C29A6"/>
    <w:pPr>
      <w:tabs>
        <w:tab w:val="right" w:leader="dot" w:pos="8931"/>
      </w:tabs>
      <w:spacing w:after="100"/>
      <w:ind w:left="220"/>
    </w:pPr>
  </w:style>
  <w:style w:type="character" w:styleId="Collegamentoipertestuale">
    <w:name w:val="Hyperlink"/>
    <w:basedOn w:val="Carpredefinitoparagrafo"/>
    <w:uiPriority w:val="99"/>
    <w:unhideWhenUsed/>
    <w:rsid w:val="002940CC"/>
    <w:rPr>
      <w:color w:val="467886" w:themeColor="hyperlink"/>
      <w:u w:val="single"/>
    </w:rPr>
  </w:style>
  <w:style w:type="paragraph" w:styleId="Sommario3">
    <w:name w:val="toc 3"/>
    <w:basedOn w:val="Normale"/>
    <w:next w:val="Normale"/>
    <w:autoRedefine/>
    <w:uiPriority w:val="39"/>
    <w:unhideWhenUsed/>
    <w:rsid w:val="002C29A6"/>
    <w:pPr>
      <w:tabs>
        <w:tab w:val="right" w:leader="dot" w:pos="8931"/>
      </w:tabs>
      <w:spacing w:after="100"/>
      <w:ind w:left="440"/>
    </w:pPr>
  </w:style>
  <w:style w:type="character" w:styleId="Rimandocommento">
    <w:name w:val="annotation reference"/>
    <w:basedOn w:val="Carpredefinitoparagrafo"/>
    <w:uiPriority w:val="99"/>
    <w:semiHidden/>
    <w:unhideWhenUsed/>
    <w:rsid w:val="00E456BE"/>
    <w:rPr>
      <w:sz w:val="16"/>
      <w:szCs w:val="16"/>
    </w:rPr>
  </w:style>
  <w:style w:type="paragraph" w:styleId="Testocommento">
    <w:name w:val="annotation text"/>
    <w:basedOn w:val="Normale"/>
    <w:link w:val="TestocommentoCarattere"/>
    <w:uiPriority w:val="99"/>
    <w:unhideWhenUsed/>
    <w:rsid w:val="00E456BE"/>
    <w:pPr>
      <w:spacing w:line="240" w:lineRule="auto"/>
    </w:pPr>
    <w:rPr>
      <w:sz w:val="20"/>
      <w:szCs w:val="20"/>
    </w:rPr>
  </w:style>
  <w:style w:type="character" w:customStyle="1" w:styleId="TestocommentoCarattere">
    <w:name w:val="Testo commento Carattere"/>
    <w:basedOn w:val="Carpredefinitoparagrafo"/>
    <w:link w:val="Testocommento"/>
    <w:uiPriority w:val="99"/>
    <w:rsid w:val="00E456BE"/>
    <w:rPr>
      <w:sz w:val="20"/>
      <w:szCs w:val="20"/>
    </w:rPr>
  </w:style>
  <w:style w:type="paragraph" w:styleId="Soggettocommento">
    <w:name w:val="annotation subject"/>
    <w:basedOn w:val="Testocommento"/>
    <w:next w:val="Testocommento"/>
    <w:link w:val="SoggettocommentoCarattere"/>
    <w:uiPriority w:val="99"/>
    <w:semiHidden/>
    <w:unhideWhenUsed/>
    <w:rsid w:val="00E456BE"/>
    <w:rPr>
      <w:b/>
      <w:bCs/>
    </w:rPr>
  </w:style>
  <w:style w:type="character" w:customStyle="1" w:styleId="SoggettocommentoCarattere">
    <w:name w:val="Soggetto commento Carattere"/>
    <w:basedOn w:val="TestocommentoCarattere"/>
    <w:link w:val="Soggettocommento"/>
    <w:uiPriority w:val="99"/>
    <w:semiHidden/>
    <w:rsid w:val="00E456BE"/>
    <w:rPr>
      <w:b/>
      <w:bCs/>
      <w:sz w:val="20"/>
      <w:szCs w:val="20"/>
    </w:rPr>
  </w:style>
  <w:style w:type="paragraph" w:styleId="Testonotaapidipagina">
    <w:name w:val="footnote text"/>
    <w:basedOn w:val="Normale"/>
    <w:link w:val="TestonotaapidipaginaCarattere"/>
    <w:uiPriority w:val="99"/>
    <w:semiHidden/>
    <w:unhideWhenUsed/>
    <w:rsid w:val="000769B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769B9"/>
    <w:rPr>
      <w:sz w:val="20"/>
      <w:szCs w:val="20"/>
    </w:rPr>
  </w:style>
  <w:style w:type="character" w:styleId="Rimandonotaapidipagina">
    <w:name w:val="footnote reference"/>
    <w:basedOn w:val="Carpredefinitoparagrafo"/>
    <w:uiPriority w:val="99"/>
    <w:semiHidden/>
    <w:unhideWhenUsed/>
    <w:rsid w:val="000769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11559">
      <w:bodyDiv w:val="1"/>
      <w:marLeft w:val="0"/>
      <w:marRight w:val="0"/>
      <w:marTop w:val="0"/>
      <w:marBottom w:val="0"/>
      <w:divBdr>
        <w:top w:val="none" w:sz="0" w:space="0" w:color="auto"/>
        <w:left w:val="none" w:sz="0" w:space="0" w:color="auto"/>
        <w:bottom w:val="none" w:sz="0" w:space="0" w:color="auto"/>
        <w:right w:val="none" w:sz="0" w:space="0" w:color="auto"/>
      </w:divBdr>
      <w:divsChild>
        <w:div w:id="1249389751">
          <w:marLeft w:val="0"/>
          <w:marRight w:val="0"/>
          <w:marTop w:val="0"/>
          <w:marBottom w:val="0"/>
          <w:divBdr>
            <w:top w:val="none" w:sz="0" w:space="0" w:color="auto"/>
            <w:left w:val="none" w:sz="0" w:space="0" w:color="auto"/>
            <w:bottom w:val="none" w:sz="0" w:space="0" w:color="auto"/>
            <w:right w:val="none" w:sz="0" w:space="0" w:color="auto"/>
          </w:divBdr>
        </w:div>
      </w:divsChild>
    </w:div>
    <w:div w:id="56822128">
      <w:bodyDiv w:val="1"/>
      <w:marLeft w:val="0"/>
      <w:marRight w:val="0"/>
      <w:marTop w:val="0"/>
      <w:marBottom w:val="0"/>
      <w:divBdr>
        <w:top w:val="none" w:sz="0" w:space="0" w:color="auto"/>
        <w:left w:val="none" w:sz="0" w:space="0" w:color="auto"/>
        <w:bottom w:val="none" w:sz="0" w:space="0" w:color="auto"/>
        <w:right w:val="none" w:sz="0" w:space="0" w:color="auto"/>
      </w:divBdr>
    </w:div>
    <w:div w:id="102574329">
      <w:bodyDiv w:val="1"/>
      <w:marLeft w:val="0"/>
      <w:marRight w:val="0"/>
      <w:marTop w:val="0"/>
      <w:marBottom w:val="0"/>
      <w:divBdr>
        <w:top w:val="none" w:sz="0" w:space="0" w:color="auto"/>
        <w:left w:val="none" w:sz="0" w:space="0" w:color="auto"/>
        <w:bottom w:val="none" w:sz="0" w:space="0" w:color="auto"/>
        <w:right w:val="none" w:sz="0" w:space="0" w:color="auto"/>
      </w:divBdr>
    </w:div>
    <w:div w:id="107236424">
      <w:bodyDiv w:val="1"/>
      <w:marLeft w:val="0"/>
      <w:marRight w:val="0"/>
      <w:marTop w:val="0"/>
      <w:marBottom w:val="0"/>
      <w:divBdr>
        <w:top w:val="none" w:sz="0" w:space="0" w:color="auto"/>
        <w:left w:val="none" w:sz="0" w:space="0" w:color="auto"/>
        <w:bottom w:val="none" w:sz="0" w:space="0" w:color="auto"/>
        <w:right w:val="none" w:sz="0" w:space="0" w:color="auto"/>
      </w:divBdr>
    </w:div>
    <w:div w:id="116918249">
      <w:bodyDiv w:val="1"/>
      <w:marLeft w:val="0"/>
      <w:marRight w:val="0"/>
      <w:marTop w:val="0"/>
      <w:marBottom w:val="0"/>
      <w:divBdr>
        <w:top w:val="none" w:sz="0" w:space="0" w:color="auto"/>
        <w:left w:val="none" w:sz="0" w:space="0" w:color="auto"/>
        <w:bottom w:val="none" w:sz="0" w:space="0" w:color="auto"/>
        <w:right w:val="none" w:sz="0" w:space="0" w:color="auto"/>
      </w:divBdr>
    </w:div>
    <w:div w:id="153884964">
      <w:bodyDiv w:val="1"/>
      <w:marLeft w:val="0"/>
      <w:marRight w:val="0"/>
      <w:marTop w:val="0"/>
      <w:marBottom w:val="0"/>
      <w:divBdr>
        <w:top w:val="none" w:sz="0" w:space="0" w:color="auto"/>
        <w:left w:val="none" w:sz="0" w:space="0" w:color="auto"/>
        <w:bottom w:val="none" w:sz="0" w:space="0" w:color="auto"/>
        <w:right w:val="none" w:sz="0" w:space="0" w:color="auto"/>
      </w:divBdr>
    </w:div>
    <w:div w:id="200409658">
      <w:bodyDiv w:val="1"/>
      <w:marLeft w:val="0"/>
      <w:marRight w:val="0"/>
      <w:marTop w:val="0"/>
      <w:marBottom w:val="0"/>
      <w:divBdr>
        <w:top w:val="none" w:sz="0" w:space="0" w:color="auto"/>
        <w:left w:val="none" w:sz="0" w:space="0" w:color="auto"/>
        <w:bottom w:val="none" w:sz="0" w:space="0" w:color="auto"/>
        <w:right w:val="none" w:sz="0" w:space="0" w:color="auto"/>
      </w:divBdr>
    </w:div>
    <w:div w:id="245261217">
      <w:bodyDiv w:val="1"/>
      <w:marLeft w:val="0"/>
      <w:marRight w:val="0"/>
      <w:marTop w:val="0"/>
      <w:marBottom w:val="0"/>
      <w:divBdr>
        <w:top w:val="none" w:sz="0" w:space="0" w:color="auto"/>
        <w:left w:val="none" w:sz="0" w:space="0" w:color="auto"/>
        <w:bottom w:val="none" w:sz="0" w:space="0" w:color="auto"/>
        <w:right w:val="none" w:sz="0" w:space="0" w:color="auto"/>
      </w:divBdr>
    </w:div>
    <w:div w:id="268784352">
      <w:bodyDiv w:val="1"/>
      <w:marLeft w:val="0"/>
      <w:marRight w:val="0"/>
      <w:marTop w:val="0"/>
      <w:marBottom w:val="0"/>
      <w:divBdr>
        <w:top w:val="none" w:sz="0" w:space="0" w:color="auto"/>
        <w:left w:val="none" w:sz="0" w:space="0" w:color="auto"/>
        <w:bottom w:val="none" w:sz="0" w:space="0" w:color="auto"/>
        <w:right w:val="none" w:sz="0" w:space="0" w:color="auto"/>
      </w:divBdr>
    </w:div>
    <w:div w:id="424231081">
      <w:bodyDiv w:val="1"/>
      <w:marLeft w:val="0"/>
      <w:marRight w:val="0"/>
      <w:marTop w:val="0"/>
      <w:marBottom w:val="0"/>
      <w:divBdr>
        <w:top w:val="none" w:sz="0" w:space="0" w:color="auto"/>
        <w:left w:val="none" w:sz="0" w:space="0" w:color="auto"/>
        <w:bottom w:val="none" w:sz="0" w:space="0" w:color="auto"/>
        <w:right w:val="none" w:sz="0" w:space="0" w:color="auto"/>
      </w:divBdr>
      <w:divsChild>
        <w:div w:id="2026899213">
          <w:marLeft w:val="0"/>
          <w:marRight w:val="0"/>
          <w:marTop w:val="0"/>
          <w:marBottom w:val="0"/>
          <w:divBdr>
            <w:top w:val="none" w:sz="0" w:space="0" w:color="auto"/>
            <w:left w:val="none" w:sz="0" w:space="0" w:color="auto"/>
            <w:bottom w:val="none" w:sz="0" w:space="0" w:color="auto"/>
            <w:right w:val="none" w:sz="0" w:space="0" w:color="auto"/>
          </w:divBdr>
        </w:div>
      </w:divsChild>
    </w:div>
    <w:div w:id="432359230">
      <w:bodyDiv w:val="1"/>
      <w:marLeft w:val="0"/>
      <w:marRight w:val="0"/>
      <w:marTop w:val="0"/>
      <w:marBottom w:val="0"/>
      <w:divBdr>
        <w:top w:val="none" w:sz="0" w:space="0" w:color="auto"/>
        <w:left w:val="none" w:sz="0" w:space="0" w:color="auto"/>
        <w:bottom w:val="none" w:sz="0" w:space="0" w:color="auto"/>
        <w:right w:val="none" w:sz="0" w:space="0" w:color="auto"/>
      </w:divBdr>
    </w:div>
    <w:div w:id="456527969">
      <w:bodyDiv w:val="1"/>
      <w:marLeft w:val="0"/>
      <w:marRight w:val="0"/>
      <w:marTop w:val="0"/>
      <w:marBottom w:val="0"/>
      <w:divBdr>
        <w:top w:val="none" w:sz="0" w:space="0" w:color="auto"/>
        <w:left w:val="none" w:sz="0" w:space="0" w:color="auto"/>
        <w:bottom w:val="none" w:sz="0" w:space="0" w:color="auto"/>
        <w:right w:val="none" w:sz="0" w:space="0" w:color="auto"/>
      </w:divBdr>
    </w:div>
    <w:div w:id="459497392">
      <w:bodyDiv w:val="1"/>
      <w:marLeft w:val="0"/>
      <w:marRight w:val="0"/>
      <w:marTop w:val="0"/>
      <w:marBottom w:val="0"/>
      <w:divBdr>
        <w:top w:val="none" w:sz="0" w:space="0" w:color="auto"/>
        <w:left w:val="none" w:sz="0" w:space="0" w:color="auto"/>
        <w:bottom w:val="none" w:sz="0" w:space="0" w:color="auto"/>
        <w:right w:val="none" w:sz="0" w:space="0" w:color="auto"/>
      </w:divBdr>
      <w:divsChild>
        <w:div w:id="1114059106">
          <w:marLeft w:val="0"/>
          <w:marRight w:val="0"/>
          <w:marTop w:val="0"/>
          <w:marBottom w:val="0"/>
          <w:divBdr>
            <w:top w:val="none" w:sz="0" w:space="0" w:color="auto"/>
            <w:left w:val="none" w:sz="0" w:space="0" w:color="auto"/>
            <w:bottom w:val="none" w:sz="0" w:space="0" w:color="auto"/>
            <w:right w:val="none" w:sz="0" w:space="0" w:color="auto"/>
          </w:divBdr>
        </w:div>
      </w:divsChild>
    </w:div>
    <w:div w:id="488638578">
      <w:bodyDiv w:val="1"/>
      <w:marLeft w:val="0"/>
      <w:marRight w:val="0"/>
      <w:marTop w:val="0"/>
      <w:marBottom w:val="0"/>
      <w:divBdr>
        <w:top w:val="none" w:sz="0" w:space="0" w:color="auto"/>
        <w:left w:val="none" w:sz="0" w:space="0" w:color="auto"/>
        <w:bottom w:val="none" w:sz="0" w:space="0" w:color="auto"/>
        <w:right w:val="none" w:sz="0" w:space="0" w:color="auto"/>
      </w:divBdr>
    </w:div>
    <w:div w:id="500196943">
      <w:bodyDiv w:val="1"/>
      <w:marLeft w:val="0"/>
      <w:marRight w:val="0"/>
      <w:marTop w:val="0"/>
      <w:marBottom w:val="0"/>
      <w:divBdr>
        <w:top w:val="none" w:sz="0" w:space="0" w:color="auto"/>
        <w:left w:val="none" w:sz="0" w:space="0" w:color="auto"/>
        <w:bottom w:val="none" w:sz="0" w:space="0" w:color="auto"/>
        <w:right w:val="none" w:sz="0" w:space="0" w:color="auto"/>
      </w:divBdr>
    </w:div>
    <w:div w:id="607810024">
      <w:bodyDiv w:val="1"/>
      <w:marLeft w:val="0"/>
      <w:marRight w:val="0"/>
      <w:marTop w:val="0"/>
      <w:marBottom w:val="0"/>
      <w:divBdr>
        <w:top w:val="none" w:sz="0" w:space="0" w:color="auto"/>
        <w:left w:val="none" w:sz="0" w:space="0" w:color="auto"/>
        <w:bottom w:val="none" w:sz="0" w:space="0" w:color="auto"/>
        <w:right w:val="none" w:sz="0" w:space="0" w:color="auto"/>
      </w:divBdr>
    </w:div>
    <w:div w:id="682515873">
      <w:bodyDiv w:val="1"/>
      <w:marLeft w:val="0"/>
      <w:marRight w:val="0"/>
      <w:marTop w:val="0"/>
      <w:marBottom w:val="0"/>
      <w:divBdr>
        <w:top w:val="none" w:sz="0" w:space="0" w:color="auto"/>
        <w:left w:val="none" w:sz="0" w:space="0" w:color="auto"/>
        <w:bottom w:val="none" w:sz="0" w:space="0" w:color="auto"/>
        <w:right w:val="none" w:sz="0" w:space="0" w:color="auto"/>
      </w:divBdr>
      <w:divsChild>
        <w:div w:id="191116556">
          <w:marLeft w:val="0"/>
          <w:marRight w:val="0"/>
          <w:marTop w:val="0"/>
          <w:marBottom w:val="0"/>
          <w:divBdr>
            <w:top w:val="none" w:sz="0" w:space="0" w:color="auto"/>
            <w:left w:val="none" w:sz="0" w:space="0" w:color="auto"/>
            <w:bottom w:val="none" w:sz="0" w:space="0" w:color="auto"/>
            <w:right w:val="none" w:sz="0" w:space="0" w:color="auto"/>
          </w:divBdr>
          <w:divsChild>
            <w:div w:id="2131821335">
              <w:marLeft w:val="0"/>
              <w:marRight w:val="0"/>
              <w:marTop w:val="0"/>
              <w:marBottom w:val="0"/>
              <w:divBdr>
                <w:top w:val="none" w:sz="0" w:space="0" w:color="auto"/>
                <w:left w:val="none" w:sz="0" w:space="0" w:color="auto"/>
                <w:bottom w:val="none" w:sz="0" w:space="0" w:color="auto"/>
                <w:right w:val="none" w:sz="0" w:space="0" w:color="auto"/>
              </w:divBdr>
              <w:divsChild>
                <w:div w:id="610209990">
                  <w:marLeft w:val="0"/>
                  <w:marRight w:val="0"/>
                  <w:marTop w:val="0"/>
                  <w:marBottom w:val="0"/>
                  <w:divBdr>
                    <w:top w:val="none" w:sz="0" w:space="0" w:color="auto"/>
                    <w:left w:val="none" w:sz="0" w:space="0" w:color="auto"/>
                    <w:bottom w:val="none" w:sz="0" w:space="0" w:color="auto"/>
                    <w:right w:val="none" w:sz="0" w:space="0" w:color="auto"/>
                  </w:divBdr>
                  <w:divsChild>
                    <w:div w:id="123031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688831">
      <w:bodyDiv w:val="1"/>
      <w:marLeft w:val="0"/>
      <w:marRight w:val="0"/>
      <w:marTop w:val="0"/>
      <w:marBottom w:val="0"/>
      <w:divBdr>
        <w:top w:val="none" w:sz="0" w:space="0" w:color="auto"/>
        <w:left w:val="none" w:sz="0" w:space="0" w:color="auto"/>
        <w:bottom w:val="none" w:sz="0" w:space="0" w:color="auto"/>
        <w:right w:val="none" w:sz="0" w:space="0" w:color="auto"/>
      </w:divBdr>
    </w:div>
    <w:div w:id="770201843">
      <w:bodyDiv w:val="1"/>
      <w:marLeft w:val="0"/>
      <w:marRight w:val="0"/>
      <w:marTop w:val="0"/>
      <w:marBottom w:val="0"/>
      <w:divBdr>
        <w:top w:val="none" w:sz="0" w:space="0" w:color="auto"/>
        <w:left w:val="none" w:sz="0" w:space="0" w:color="auto"/>
        <w:bottom w:val="none" w:sz="0" w:space="0" w:color="auto"/>
        <w:right w:val="none" w:sz="0" w:space="0" w:color="auto"/>
      </w:divBdr>
    </w:div>
    <w:div w:id="798960588">
      <w:bodyDiv w:val="1"/>
      <w:marLeft w:val="0"/>
      <w:marRight w:val="0"/>
      <w:marTop w:val="0"/>
      <w:marBottom w:val="0"/>
      <w:divBdr>
        <w:top w:val="none" w:sz="0" w:space="0" w:color="auto"/>
        <w:left w:val="none" w:sz="0" w:space="0" w:color="auto"/>
        <w:bottom w:val="none" w:sz="0" w:space="0" w:color="auto"/>
        <w:right w:val="none" w:sz="0" w:space="0" w:color="auto"/>
      </w:divBdr>
    </w:div>
    <w:div w:id="877817996">
      <w:bodyDiv w:val="1"/>
      <w:marLeft w:val="0"/>
      <w:marRight w:val="0"/>
      <w:marTop w:val="0"/>
      <w:marBottom w:val="0"/>
      <w:divBdr>
        <w:top w:val="none" w:sz="0" w:space="0" w:color="auto"/>
        <w:left w:val="none" w:sz="0" w:space="0" w:color="auto"/>
        <w:bottom w:val="none" w:sz="0" w:space="0" w:color="auto"/>
        <w:right w:val="none" w:sz="0" w:space="0" w:color="auto"/>
      </w:divBdr>
    </w:div>
    <w:div w:id="920022768">
      <w:bodyDiv w:val="1"/>
      <w:marLeft w:val="0"/>
      <w:marRight w:val="0"/>
      <w:marTop w:val="0"/>
      <w:marBottom w:val="0"/>
      <w:divBdr>
        <w:top w:val="none" w:sz="0" w:space="0" w:color="auto"/>
        <w:left w:val="none" w:sz="0" w:space="0" w:color="auto"/>
        <w:bottom w:val="none" w:sz="0" w:space="0" w:color="auto"/>
        <w:right w:val="none" w:sz="0" w:space="0" w:color="auto"/>
      </w:divBdr>
    </w:div>
    <w:div w:id="947197079">
      <w:bodyDiv w:val="1"/>
      <w:marLeft w:val="0"/>
      <w:marRight w:val="0"/>
      <w:marTop w:val="0"/>
      <w:marBottom w:val="0"/>
      <w:divBdr>
        <w:top w:val="none" w:sz="0" w:space="0" w:color="auto"/>
        <w:left w:val="none" w:sz="0" w:space="0" w:color="auto"/>
        <w:bottom w:val="none" w:sz="0" w:space="0" w:color="auto"/>
        <w:right w:val="none" w:sz="0" w:space="0" w:color="auto"/>
      </w:divBdr>
    </w:div>
    <w:div w:id="1079792777">
      <w:bodyDiv w:val="1"/>
      <w:marLeft w:val="0"/>
      <w:marRight w:val="0"/>
      <w:marTop w:val="0"/>
      <w:marBottom w:val="0"/>
      <w:divBdr>
        <w:top w:val="none" w:sz="0" w:space="0" w:color="auto"/>
        <w:left w:val="none" w:sz="0" w:space="0" w:color="auto"/>
        <w:bottom w:val="none" w:sz="0" w:space="0" w:color="auto"/>
        <w:right w:val="none" w:sz="0" w:space="0" w:color="auto"/>
      </w:divBdr>
    </w:div>
    <w:div w:id="1176654582">
      <w:bodyDiv w:val="1"/>
      <w:marLeft w:val="0"/>
      <w:marRight w:val="0"/>
      <w:marTop w:val="0"/>
      <w:marBottom w:val="0"/>
      <w:divBdr>
        <w:top w:val="none" w:sz="0" w:space="0" w:color="auto"/>
        <w:left w:val="none" w:sz="0" w:space="0" w:color="auto"/>
        <w:bottom w:val="none" w:sz="0" w:space="0" w:color="auto"/>
        <w:right w:val="none" w:sz="0" w:space="0" w:color="auto"/>
      </w:divBdr>
    </w:div>
    <w:div w:id="1194617181">
      <w:bodyDiv w:val="1"/>
      <w:marLeft w:val="0"/>
      <w:marRight w:val="0"/>
      <w:marTop w:val="0"/>
      <w:marBottom w:val="0"/>
      <w:divBdr>
        <w:top w:val="none" w:sz="0" w:space="0" w:color="auto"/>
        <w:left w:val="none" w:sz="0" w:space="0" w:color="auto"/>
        <w:bottom w:val="none" w:sz="0" w:space="0" w:color="auto"/>
        <w:right w:val="none" w:sz="0" w:space="0" w:color="auto"/>
      </w:divBdr>
      <w:divsChild>
        <w:div w:id="1407728923">
          <w:marLeft w:val="0"/>
          <w:marRight w:val="0"/>
          <w:marTop w:val="0"/>
          <w:marBottom w:val="0"/>
          <w:divBdr>
            <w:top w:val="none" w:sz="0" w:space="0" w:color="auto"/>
            <w:left w:val="none" w:sz="0" w:space="0" w:color="auto"/>
            <w:bottom w:val="none" w:sz="0" w:space="0" w:color="auto"/>
            <w:right w:val="none" w:sz="0" w:space="0" w:color="auto"/>
          </w:divBdr>
        </w:div>
      </w:divsChild>
    </w:div>
    <w:div w:id="1202134590">
      <w:bodyDiv w:val="1"/>
      <w:marLeft w:val="0"/>
      <w:marRight w:val="0"/>
      <w:marTop w:val="0"/>
      <w:marBottom w:val="0"/>
      <w:divBdr>
        <w:top w:val="none" w:sz="0" w:space="0" w:color="auto"/>
        <w:left w:val="none" w:sz="0" w:space="0" w:color="auto"/>
        <w:bottom w:val="none" w:sz="0" w:space="0" w:color="auto"/>
        <w:right w:val="none" w:sz="0" w:space="0" w:color="auto"/>
      </w:divBdr>
    </w:div>
    <w:div w:id="1287546514">
      <w:bodyDiv w:val="1"/>
      <w:marLeft w:val="0"/>
      <w:marRight w:val="0"/>
      <w:marTop w:val="0"/>
      <w:marBottom w:val="0"/>
      <w:divBdr>
        <w:top w:val="none" w:sz="0" w:space="0" w:color="auto"/>
        <w:left w:val="none" w:sz="0" w:space="0" w:color="auto"/>
        <w:bottom w:val="none" w:sz="0" w:space="0" w:color="auto"/>
        <w:right w:val="none" w:sz="0" w:space="0" w:color="auto"/>
      </w:divBdr>
    </w:div>
    <w:div w:id="1304382310">
      <w:bodyDiv w:val="1"/>
      <w:marLeft w:val="0"/>
      <w:marRight w:val="0"/>
      <w:marTop w:val="0"/>
      <w:marBottom w:val="0"/>
      <w:divBdr>
        <w:top w:val="none" w:sz="0" w:space="0" w:color="auto"/>
        <w:left w:val="none" w:sz="0" w:space="0" w:color="auto"/>
        <w:bottom w:val="none" w:sz="0" w:space="0" w:color="auto"/>
        <w:right w:val="none" w:sz="0" w:space="0" w:color="auto"/>
      </w:divBdr>
    </w:div>
    <w:div w:id="1332100104">
      <w:bodyDiv w:val="1"/>
      <w:marLeft w:val="0"/>
      <w:marRight w:val="0"/>
      <w:marTop w:val="0"/>
      <w:marBottom w:val="0"/>
      <w:divBdr>
        <w:top w:val="none" w:sz="0" w:space="0" w:color="auto"/>
        <w:left w:val="none" w:sz="0" w:space="0" w:color="auto"/>
        <w:bottom w:val="none" w:sz="0" w:space="0" w:color="auto"/>
        <w:right w:val="none" w:sz="0" w:space="0" w:color="auto"/>
      </w:divBdr>
      <w:divsChild>
        <w:div w:id="1187328969">
          <w:marLeft w:val="0"/>
          <w:marRight w:val="0"/>
          <w:marTop w:val="0"/>
          <w:marBottom w:val="0"/>
          <w:divBdr>
            <w:top w:val="none" w:sz="0" w:space="0" w:color="auto"/>
            <w:left w:val="none" w:sz="0" w:space="0" w:color="auto"/>
            <w:bottom w:val="none" w:sz="0" w:space="0" w:color="auto"/>
            <w:right w:val="none" w:sz="0" w:space="0" w:color="auto"/>
          </w:divBdr>
        </w:div>
      </w:divsChild>
    </w:div>
    <w:div w:id="1348822557">
      <w:bodyDiv w:val="1"/>
      <w:marLeft w:val="0"/>
      <w:marRight w:val="0"/>
      <w:marTop w:val="0"/>
      <w:marBottom w:val="0"/>
      <w:divBdr>
        <w:top w:val="none" w:sz="0" w:space="0" w:color="auto"/>
        <w:left w:val="none" w:sz="0" w:space="0" w:color="auto"/>
        <w:bottom w:val="none" w:sz="0" w:space="0" w:color="auto"/>
        <w:right w:val="none" w:sz="0" w:space="0" w:color="auto"/>
      </w:divBdr>
    </w:div>
    <w:div w:id="1352998578">
      <w:bodyDiv w:val="1"/>
      <w:marLeft w:val="0"/>
      <w:marRight w:val="0"/>
      <w:marTop w:val="0"/>
      <w:marBottom w:val="0"/>
      <w:divBdr>
        <w:top w:val="none" w:sz="0" w:space="0" w:color="auto"/>
        <w:left w:val="none" w:sz="0" w:space="0" w:color="auto"/>
        <w:bottom w:val="none" w:sz="0" w:space="0" w:color="auto"/>
        <w:right w:val="none" w:sz="0" w:space="0" w:color="auto"/>
      </w:divBdr>
    </w:div>
    <w:div w:id="1361542917">
      <w:bodyDiv w:val="1"/>
      <w:marLeft w:val="0"/>
      <w:marRight w:val="0"/>
      <w:marTop w:val="0"/>
      <w:marBottom w:val="0"/>
      <w:divBdr>
        <w:top w:val="none" w:sz="0" w:space="0" w:color="auto"/>
        <w:left w:val="none" w:sz="0" w:space="0" w:color="auto"/>
        <w:bottom w:val="none" w:sz="0" w:space="0" w:color="auto"/>
        <w:right w:val="none" w:sz="0" w:space="0" w:color="auto"/>
      </w:divBdr>
    </w:div>
    <w:div w:id="1365981695">
      <w:bodyDiv w:val="1"/>
      <w:marLeft w:val="0"/>
      <w:marRight w:val="0"/>
      <w:marTop w:val="0"/>
      <w:marBottom w:val="0"/>
      <w:divBdr>
        <w:top w:val="none" w:sz="0" w:space="0" w:color="auto"/>
        <w:left w:val="none" w:sz="0" w:space="0" w:color="auto"/>
        <w:bottom w:val="none" w:sz="0" w:space="0" w:color="auto"/>
        <w:right w:val="none" w:sz="0" w:space="0" w:color="auto"/>
      </w:divBdr>
      <w:divsChild>
        <w:div w:id="354891185">
          <w:marLeft w:val="0"/>
          <w:marRight w:val="0"/>
          <w:marTop w:val="0"/>
          <w:marBottom w:val="0"/>
          <w:divBdr>
            <w:top w:val="none" w:sz="0" w:space="0" w:color="auto"/>
            <w:left w:val="none" w:sz="0" w:space="0" w:color="auto"/>
            <w:bottom w:val="none" w:sz="0" w:space="0" w:color="auto"/>
            <w:right w:val="none" w:sz="0" w:space="0" w:color="auto"/>
          </w:divBdr>
        </w:div>
      </w:divsChild>
    </w:div>
    <w:div w:id="1370374927">
      <w:bodyDiv w:val="1"/>
      <w:marLeft w:val="0"/>
      <w:marRight w:val="0"/>
      <w:marTop w:val="0"/>
      <w:marBottom w:val="0"/>
      <w:divBdr>
        <w:top w:val="none" w:sz="0" w:space="0" w:color="auto"/>
        <w:left w:val="none" w:sz="0" w:space="0" w:color="auto"/>
        <w:bottom w:val="none" w:sz="0" w:space="0" w:color="auto"/>
        <w:right w:val="none" w:sz="0" w:space="0" w:color="auto"/>
      </w:divBdr>
    </w:div>
    <w:div w:id="1457674530">
      <w:bodyDiv w:val="1"/>
      <w:marLeft w:val="0"/>
      <w:marRight w:val="0"/>
      <w:marTop w:val="0"/>
      <w:marBottom w:val="0"/>
      <w:divBdr>
        <w:top w:val="none" w:sz="0" w:space="0" w:color="auto"/>
        <w:left w:val="none" w:sz="0" w:space="0" w:color="auto"/>
        <w:bottom w:val="none" w:sz="0" w:space="0" w:color="auto"/>
        <w:right w:val="none" w:sz="0" w:space="0" w:color="auto"/>
      </w:divBdr>
    </w:div>
    <w:div w:id="1470593231">
      <w:bodyDiv w:val="1"/>
      <w:marLeft w:val="0"/>
      <w:marRight w:val="0"/>
      <w:marTop w:val="0"/>
      <w:marBottom w:val="0"/>
      <w:divBdr>
        <w:top w:val="none" w:sz="0" w:space="0" w:color="auto"/>
        <w:left w:val="none" w:sz="0" w:space="0" w:color="auto"/>
        <w:bottom w:val="none" w:sz="0" w:space="0" w:color="auto"/>
        <w:right w:val="none" w:sz="0" w:space="0" w:color="auto"/>
      </w:divBdr>
    </w:div>
    <w:div w:id="1563519193">
      <w:bodyDiv w:val="1"/>
      <w:marLeft w:val="0"/>
      <w:marRight w:val="0"/>
      <w:marTop w:val="0"/>
      <w:marBottom w:val="0"/>
      <w:divBdr>
        <w:top w:val="none" w:sz="0" w:space="0" w:color="auto"/>
        <w:left w:val="none" w:sz="0" w:space="0" w:color="auto"/>
        <w:bottom w:val="none" w:sz="0" w:space="0" w:color="auto"/>
        <w:right w:val="none" w:sz="0" w:space="0" w:color="auto"/>
      </w:divBdr>
    </w:div>
    <w:div w:id="1605769826">
      <w:bodyDiv w:val="1"/>
      <w:marLeft w:val="0"/>
      <w:marRight w:val="0"/>
      <w:marTop w:val="0"/>
      <w:marBottom w:val="0"/>
      <w:divBdr>
        <w:top w:val="none" w:sz="0" w:space="0" w:color="auto"/>
        <w:left w:val="none" w:sz="0" w:space="0" w:color="auto"/>
        <w:bottom w:val="none" w:sz="0" w:space="0" w:color="auto"/>
        <w:right w:val="none" w:sz="0" w:space="0" w:color="auto"/>
      </w:divBdr>
    </w:div>
    <w:div w:id="1630475205">
      <w:bodyDiv w:val="1"/>
      <w:marLeft w:val="0"/>
      <w:marRight w:val="0"/>
      <w:marTop w:val="0"/>
      <w:marBottom w:val="0"/>
      <w:divBdr>
        <w:top w:val="none" w:sz="0" w:space="0" w:color="auto"/>
        <w:left w:val="none" w:sz="0" w:space="0" w:color="auto"/>
        <w:bottom w:val="none" w:sz="0" w:space="0" w:color="auto"/>
        <w:right w:val="none" w:sz="0" w:space="0" w:color="auto"/>
      </w:divBdr>
    </w:div>
    <w:div w:id="1671323810">
      <w:bodyDiv w:val="1"/>
      <w:marLeft w:val="0"/>
      <w:marRight w:val="0"/>
      <w:marTop w:val="0"/>
      <w:marBottom w:val="0"/>
      <w:divBdr>
        <w:top w:val="none" w:sz="0" w:space="0" w:color="auto"/>
        <w:left w:val="none" w:sz="0" w:space="0" w:color="auto"/>
        <w:bottom w:val="none" w:sz="0" w:space="0" w:color="auto"/>
        <w:right w:val="none" w:sz="0" w:space="0" w:color="auto"/>
      </w:divBdr>
    </w:div>
    <w:div w:id="1705591351">
      <w:bodyDiv w:val="1"/>
      <w:marLeft w:val="0"/>
      <w:marRight w:val="0"/>
      <w:marTop w:val="0"/>
      <w:marBottom w:val="0"/>
      <w:divBdr>
        <w:top w:val="none" w:sz="0" w:space="0" w:color="auto"/>
        <w:left w:val="none" w:sz="0" w:space="0" w:color="auto"/>
        <w:bottom w:val="none" w:sz="0" w:space="0" w:color="auto"/>
        <w:right w:val="none" w:sz="0" w:space="0" w:color="auto"/>
      </w:divBdr>
      <w:divsChild>
        <w:div w:id="1036809157">
          <w:marLeft w:val="0"/>
          <w:marRight w:val="0"/>
          <w:marTop w:val="0"/>
          <w:marBottom w:val="0"/>
          <w:divBdr>
            <w:top w:val="none" w:sz="0" w:space="0" w:color="auto"/>
            <w:left w:val="none" w:sz="0" w:space="0" w:color="auto"/>
            <w:bottom w:val="none" w:sz="0" w:space="0" w:color="auto"/>
            <w:right w:val="none" w:sz="0" w:space="0" w:color="auto"/>
          </w:divBdr>
        </w:div>
      </w:divsChild>
    </w:div>
    <w:div w:id="1766414136">
      <w:bodyDiv w:val="1"/>
      <w:marLeft w:val="0"/>
      <w:marRight w:val="0"/>
      <w:marTop w:val="0"/>
      <w:marBottom w:val="0"/>
      <w:divBdr>
        <w:top w:val="none" w:sz="0" w:space="0" w:color="auto"/>
        <w:left w:val="none" w:sz="0" w:space="0" w:color="auto"/>
        <w:bottom w:val="none" w:sz="0" w:space="0" w:color="auto"/>
        <w:right w:val="none" w:sz="0" w:space="0" w:color="auto"/>
      </w:divBdr>
    </w:div>
    <w:div w:id="1766881358">
      <w:bodyDiv w:val="1"/>
      <w:marLeft w:val="0"/>
      <w:marRight w:val="0"/>
      <w:marTop w:val="0"/>
      <w:marBottom w:val="0"/>
      <w:divBdr>
        <w:top w:val="none" w:sz="0" w:space="0" w:color="auto"/>
        <w:left w:val="none" w:sz="0" w:space="0" w:color="auto"/>
        <w:bottom w:val="none" w:sz="0" w:space="0" w:color="auto"/>
        <w:right w:val="none" w:sz="0" w:space="0" w:color="auto"/>
      </w:divBdr>
      <w:divsChild>
        <w:div w:id="1100176273">
          <w:marLeft w:val="0"/>
          <w:marRight w:val="0"/>
          <w:marTop w:val="0"/>
          <w:marBottom w:val="0"/>
          <w:divBdr>
            <w:top w:val="none" w:sz="0" w:space="0" w:color="auto"/>
            <w:left w:val="none" w:sz="0" w:space="0" w:color="auto"/>
            <w:bottom w:val="none" w:sz="0" w:space="0" w:color="auto"/>
            <w:right w:val="none" w:sz="0" w:space="0" w:color="auto"/>
          </w:divBdr>
          <w:divsChild>
            <w:div w:id="57486140">
              <w:marLeft w:val="0"/>
              <w:marRight w:val="0"/>
              <w:marTop w:val="0"/>
              <w:marBottom w:val="0"/>
              <w:divBdr>
                <w:top w:val="none" w:sz="0" w:space="0" w:color="auto"/>
                <w:left w:val="none" w:sz="0" w:space="0" w:color="auto"/>
                <w:bottom w:val="none" w:sz="0" w:space="0" w:color="auto"/>
                <w:right w:val="none" w:sz="0" w:space="0" w:color="auto"/>
              </w:divBdr>
              <w:divsChild>
                <w:div w:id="308828823">
                  <w:marLeft w:val="0"/>
                  <w:marRight w:val="0"/>
                  <w:marTop w:val="0"/>
                  <w:marBottom w:val="0"/>
                  <w:divBdr>
                    <w:top w:val="none" w:sz="0" w:space="0" w:color="auto"/>
                    <w:left w:val="none" w:sz="0" w:space="0" w:color="auto"/>
                    <w:bottom w:val="none" w:sz="0" w:space="0" w:color="auto"/>
                    <w:right w:val="none" w:sz="0" w:space="0" w:color="auto"/>
                  </w:divBdr>
                  <w:divsChild>
                    <w:div w:id="110711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070931">
      <w:bodyDiv w:val="1"/>
      <w:marLeft w:val="0"/>
      <w:marRight w:val="0"/>
      <w:marTop w:val="0"/>
      <w:marBottom w:val="0"/>
      <w:divBdr>
        <w:top w:val="none" w:sz="0" w:space="0" w:color="auto"/>
        <w:left w:val="none" w:sz="0" w:space="0" w:color="auto"/>
        <w:bottom w:val="none" w:sz="0" w:space="0" w:color="auto"/>
        <w:right w:val="none" w:sz="0" w:space="0" w:color="auto"/>
      </w:divBdr>
    </w:div>
    <w:div w:id="1846241686">
      <w:bodyDiv w:val="1"/>
      <w:marLeft w:val="0"/>
      <w:marRight w:val="0"/>
      <w:marTop w:val="0"/>
      <w:marBottom w:val="0"/>
      <w:divBdr>
        <w:top w:val="none" w:sz="0" w:space="0" w:color="auto"/>
        <w:left w:val="none" w:sz="0" w:space="0" w:color="auto"/>
        <w:bottom w:val="none" w:sz="0" w:space="0" w:color="auto"/>
        <w:right w:val="none" w:sz="0" w:space="0" w:color="auto"/>
      </w:divBdr>
    </w:div>
    <w:div w:id="1859388313">
      <w:bodyDiv w:val="1"/>
      <w:marLeft w:val="0"/>
      <w:marRight w:val="0"/>
      <w:marTop w:val="0"/>
      <w:marBottom w:val="0"/>
      <w:divBdr>
        <w:top w:val="none" w:sz="0" w:space="0" w:color="auto"/>
        <w:left w:val="none" w:sz="0" w:space="0" w:color="auto"/>
        <w:bottom w:val="none" w:sz="0" w:space="0" w:color="auto"/>
        <w:right w:val="none" w:sz="0" w:space="0" w:color="auto"/>
      </w:divBdr>
    </w:div>
    <w:div w:id="1897280082">
      <w:bodyDiv w:val="1"/>
      <w:marLeft w:val="0"/>
      <w:marRight w:val="0"/>
      <w:marTop w:val="0"/>
      <w:marBottom w:val="0"/>
      <w:divBdr>
        <w:top w:val="none" w:sz="0" w:space="0" w:color="auto"/>
        <w:left w:val="none" w:sz="0" w:space="0" w:color="auto"/>
        <w:bottom w:val="none" w:sz="0" w:space="0" w:color="auto"/>
        <w:right w:val="none" w:sz="0" w:space="0" w:color="auto"/>
      </w:divBdr>
    </w:div>
    <w:div w:id="1980334001">
      <w:bodyDiv w:val="1"/>
      <w:marLeft w:val="0"/>
      <w:marRight w:val="0"/>
      <w:marTop w:val="0"/>
      <w:marBottom w:val="0"/>
      <w:divBdr>
        <w:top w:val="none" w:sz="0" w:space="0" w:color="auto"/>
        <w:left w:val="none" w:sz="0" w:space="0" w:color="auto"/>
        <w:bottom w:val="none" w:sz="0" w:space="0" w:color="auto"/>
        <w:right w:val="none" w:sz="0" w:space="0" w:color="auto"/>
      </w:divBdr>
    </w:div>
    <w:div w:id="2034576677">
      <w:bodyDiv w:val="1"/>
      <w:marLeft w:val="0"/>
      <w:marRight w:val="0"/>
      <w:marTop w:val="0"/>
      <w:marBottom w:val="0"/>
      <w:divBdr>
        <w:top w:val="none" w:sz="0" w:space="0" w:color="auto"/>
        <w:left w:val="none" w:sz="0" w:space="0" w:color="auto"/>
        <w:bottom w:val="none" w:sz="0" w:space="0" w:color="auto"/>
        <w:right w:val="none" w:sz="0" w:space="0" w:color="auto"/>
      </w:divBdr>
    </w:div>
    <w:div w:id="2050564547">
      <w:bodyDiv w:val="1"/>
      <w:marLeft w:val="0"/>
      <w:marRight w:val="0"/>
      <w:marTop w:val="0"/>
      <w:marBottom w:val="0"/>
      <w:divBdr>
        <w:top w:val="none" w:sz="0" w:space="0" w:color="auto"/>
        <w:left w:val="none" w:sz="0" w:space="0" w:color="auto"/>
        <w:bottom w:val="none" w:sz="0" w:space="0" w:color="auto"/>
        <w:right w:val="none" w:sz="0" w:space="0" w:color="auto"/>
      </w:divBdr>
    </w:div>
    <w:div w:id="2076509146">
      <w:bodyDiv w:val="1"/>
      <w:marLeft w:val="0"/>
      <w:marRight w:val="0"/>
      <w:marTop w:val="0"/>
      <w:marBottom w:val="0"/>
      <w:divBdr>
        <w:top w:val="none" w:sz="0" w:space="0" w:color="auto"/>
        <w:left w:val="none" w:sz="0" w:space="0" w:color="auto"/>
        <w:bottom w:val="none" w:sz="0" w:space="0" w:color="auto"/>
        <w:right w:val="none" w:sz="0" w:space="0" w:color="auto"/>
      </w:divBdr>
      <w:divsChild>
        <w:div w:id="867179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chart" Target="charts/chart3.xml"/><Relationship Id="rId26" Type="http://schemas.openxmlformats.org/officeDocument/2006/relationships/chart" Target="charts/chart11.xml"/><Relationship Id="rId3" Type="http://schemas.openxmlformats.org/officeDocument/2006/relationships/customXml" Target="../customXml/item3.xml"/><Relationship Id="rId21" Type="http://schemas.openxmlformats.org/officeDocument/2006/relationships/chart" Target="charts/chart6.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chart" Target="charts/chart2.xml"/><Relationship Id="rId25" Type="http://schemas.openxmlformats.org/officeDocument/2006/relationships/chart" Target="charts/chart10.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chart" Target="charts/chart9.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chart" Target="charts/chart8.xm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hart" Target="charts/chart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NAS2\uffici\Global%20Economics%20Impact&amp;%20ESG\Pubblicazioni,%20eventi%20e%20media\Pubblicazioni%20per%20esterni\Indagini%20internazionalizzazione%20e%20contributi%20export\Confindustria%20Veneto%20Est%202024-25\Dati%20Veneto_11032025.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https://fondazionenordest-my.sharepoint.com/personal/g_toschi_fondazionenordest_onmicrosoft_com/Documents/_Fondazione/2024/2024%20Confindustria%20Veneto%20Est/Internazionalizzazione/Rapporto%20finale/Rapporto%20finale/Db%20finale.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https://fondazionenordest-my.sharepoint.com/personal/g_toschi_fondazionenordest_onmicrosoft_com/Documents/_Fondazione/2024/2024%20Confindustria%20Veneto%20Est/Internazionalizzazione/Rapporto%20finale/Rapporto%20finale/Db%20finale.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https://fondazionenordest-my.sharepoint.com/personal/g_toschi_fondazionenordest_onmicrosoft_com/Documents/_Fondazione/2024/2024%20Confindustria%20Veneto%20Est/Internazionalizzazione/Rapporto%20finale/Dati_nuovapesatura-LAPTOP-DVBV8F1E.xlsx"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NAS2\uffici\Global%20Economics%20Impact&amp;%20ESG\Pubblicazioni,%20eventi%20e%20media\Pubblicazioni%20per%20esterni\Indagini%20internazionalizzazione%20e%20contributi%20export\Confindustria%20Veneto%20Est%202024-25\Dati%20Veneto_11032025.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https://fondazionenordest-my.sharepoint.com/personal/g_toschi_fondazionenordest_onmicrosoft_com/Documents/_Fondazione/2024/2024%20Confindustria%20Veneto%20Est/Internazionalizzazione/Rapporto%20finale/Rapporto%20finale/Db%20final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fondazionenordest-my.sharepoint.com/personal/g_toschi_fondazionenordest_onmicrosoft_com/Documents/_Fondazione/2024/2024%20Confindustria%20Veneto%20Est/Internazionalizzazione/Rapporto%20finale/Dati_nuovapesatura-LAPTOP-DVBV8F1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vanja.franchini\AppData\Local\Microsoft\Windows\INetCache\Content.Outlook\6LOD3T00\Grafico%202.1b.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fondazionenordest-my.sharepoint.com/personal/g_toschi_fondazionenordest_onmicrosoft_com/Documents/_Fondazione/2024/2024%20Confindustria%20Veneto%20Est/Internazionalizzazione/Rapporto%20finale/Dati_nuovapesatura.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fondazionenordest-my.sharepoint.com/personal/g_toschi_fondazionenordest_onmicrosoft_com/Documents/_Fondazione/2024/2024%20Confindustria%20Veneto%20Est/Internazionalizzazione/Rapporto%20finale/Dati_nuovapesatura.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fondazionenordest-my.sharepoint.com/personal/g_toschi_fondazionenordest_onmicrosoft_com/Documents/_Fondazione/2024/2024%20Confindustria%20Veneto%20Est/Internazionalizzazione/Rapporto%20finale/Rapporto%20finale/Db%20finale.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'Fig. Settori'!$C$26</c:f>
              <c:strCache>
                <c:ptCount val="1"/>
                <c:pt idx="0">
                  <c:v>2024</c:v>
                </c:pt>
              </c:strCache>
            </c:strRef>
          </c:tx>
          <c:spPr>
            <a:solidFill>
              <a:schemeClr val="accent1"/>
            </a:solidFill>
            <a:ln>
              <a:noFill/>
            </a:ln>
            <a:effectLst/>
          </c:spPr>
          <c:invertIfNegative val="0"/>
          <c:dLbls>
            <c:dLbl>
              <c:idx val="1"/>
              <c:layout>
                <c:manualLayout>
                  <c:x val="-7.9334025651015185E-3"/>
                  <c:y val="1.31771033821577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893-45FF-B168-F96587528AEA}"/>
                </c:ext>
              </c:extLst>
            </c:dLbl>
            <c:dLbl>
              <c:idx val="3"/>
              <c:layout>
                <c:manualLayout>
                  <c:x val="-5.2892126923612731E-3"/>
                  <c:y val="1.31771033821577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893-45FF-B168-F96587528AEA}"/>
                </c:ext>
              </c:extLst>
            </c:dLbl>
            <c:dLbl>
              <c:idx val="5"/>
              <c:layout>
                <c:manualLayout>
                  <c:x val="0"/>
                  <c:y val="8.784735588105191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893-45FF-B168-F96587528AEA}"/>
                </c:ext>
              </c:extLst>
            </c:dLbl>
            <c:dLbl>
              <c:idx val="6"/>
              <c:layout>
                <c:manualLayout>
                  <c:x val="-5.2892126923613702E-3"/>
                  <c:y val="1.31771033821577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893-45FF-B168-F96587528AEA}"/>
                </c:ext>
              </c:extLst>
            </c:dLbl>
            <c:dLbl>
              <c:idx val="8"/>
              <c:layout>
                <c:manualLayout>
                  <c:x val="-9.6967779179897004E-17"/>
                  <c:y val="1.31771033821577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893-45FF-B168-F96587528AE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 Settori'!$B$27:$B$36</c:f>
              <c:strCache>
                <c:ptCount val="10"/>
                <c:pt idx="0">
                  <c:v>Altro €7,5 mld</c:v>
                </c:pt>
                <c:pt idx="1">
                  <c:v>Mezzi di trasporto €2,5 mld</c:v>
                </c:pt>
                <c:pt idx="2">
                  <c:v>Prodotti chimici €2,9 mld</c:v>
                </c:pt>
                <c:pt idx="3">
                  <c:v>Gomma e plastica €4,8 mld</c:v>
                </c:pt>
                <c:pt idx="4">
                  <c:v>Apparecchi elettrici €6,5 mld</c:v>
                </c:pt>
                <c:pt idx="5">
                  <c:v>Prodotti in metallo €8,2 mld</c:v>
                </c:pt>
                <c:pt idx="6">
                  <c:v>Alimentari e bevande €8,8 mld</c:v>
                </c:pt>
                <c:pt idx="7">
                  <c:v>Tessile e abbigliamento €11 mld</c:v>
                </c:pt>
                <c:pt idx="8">
                  <c:v>Altra manifattura €12,1 mld</c:v>
                </c:pt>
                <c:pt idx="9">
                  <c:v>Meccanica strumentale €15,9 mld</c:v>
                </c:pt>
              </c:strCache>
            </c:strRef>
          </c:cat>
          <c:val>
            <c:numRef>
              <c:f>'Fig. Settori'!$C$27:$C$36</c:f>
              <c:numCache>
                <c:formatCode>0.0%</c:formatCode>
                <c:ptCount val="10"/>
                <c:pt idx="0">
                  <c:v>1.6298099643845987E-2</c:v>
                </c:pt>
                <c:pt idx="1">
                  <c:v>-9.3804500728932871E-2</c:v>
                </c:pt>
                <c:pt idx="2">
                  <c:v>3.3788317042454663E-2</c:v>
                </c:pt>
                <c:pt idx="3">
                  <c:v>-2.2119536634377379E-3</c:v>
                </c:pt>
                <c:pt idx="4">
                  <c:v>-2.6132335507857762E-2</c:v>
                </c:pt>
                <c:pt idx="5">
                  <c:v>-7.9529023222856488E-2</c:v>
                </c:pt>
                <c:pt idx="6">
                  <c:v>5.3864640237144989E-2</c:v>
                </c:pt>
                <c:pt idx="7">
                  <c:v>-6.749932069732334E-2</c:v>
                </c:pt>
                <c:pt idx="8">
                  <c:v>1.9480562111917621E-2</c:v>
                </c:pt>
                <c:pt idx="9">
                  <c:v>-2.7472722273304218E-2</c:v>
                </c:pt>
              </c:numCache>
            </c:numRef>
          </c:val>
          <c:extLst>
            <c:ext xmlns:c16="http://schemas.microsoft.com/office/drawing/2014/chart" uri="{C3380CC4-5D6E-409C-BE32-E72D297353CC}">
              <c16:uniqueId val="{00000005-A893-45FF-B168-F96587528AEA}"/>
            </c:ext>
          </c:extLst>
        </c:ser>
        <c:ser>
          <c:idx val="1"/>
          <c:order val="1"/>
          <c:tx>
            <c:strRef>
              <c:f>'Fig. Settori'!$D$26</c:f>
              <c:strCache>
                <c:ptCount val="1"/>
                <c:pt idx="0">
                  <c:v>2023</c:v>
                </c:pt>
              </c:strCache>
            </c:strRef>
          </c:tx>
          <c:spPr>
            <a:solidFill>
              <a:schemeClr val="accent2"/>
            </a:solidFill>
            <a:ln>
              <a:noFill/>
            </a:ln>
            <a:effectLst/>
          </c:spPr>
          <c:invertIfNegative val="0"/>
          <c:dLbls>
            <c:dLbl>
              <c:idx val="1"/>
              <c:layout>
                <c:manualLayout>
                  <c:x val="-7.9334025651015671E-3"/>
                  <c:y val="-1.31771033821578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893-45FF-B168-F96587528AEA}"/>
                </c:ext>
              </c:extLst>
            </c:dLbl>
            <c:dLbl>
              <c:idx val="2"/>
              <c:layout>
                <c:manualLayout>
                  <c:x val="-9.6450131233595283E-3"/>
                  <c:y val="1.392322097378204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893-45FF-B168-F96587528AEA}"/>
                </c:ext>
              </c:extLst>
            </c:dLbl>
            <c:dLbl>
              <c:idx val="5"/>
              <c:layout>
                <c:manualLayout>
                  <c:x val="0"/>
                  <c:y val="-8.784735588105191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893-45FF-B168-F96587528AEA}"/>
                </c:ext>
              </c:extLst>
            </c:dLbl>
            <c:dLbl>
              <c:idx val="6"/>
              <c:layout>
                <c:manualLayout>
                  <c:x val="-7.9338190385420063E-3"/>
                  <c:y val="-4.392367794052595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893-45FF-B168-F96587528AEA}"/>
                </c:ext>
              </c:extLst>
            </c:dLbl>
            <c:dLbl>
              <c:idx val="7"/>
              <c:layout>
                <c:manualLayout>
                  <c:x val="-5.2887962189209301E-3"/>
                  <c:y val="-1.75694711762103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893-45FF-B168-F96587528AEA}"/>
                </c:ext>
              </c:extLst>
            </c:dLbl>
            <c:dLbl>
              <c:idx val="8"/>
              <c:layout>
                <c:manualLayout>
                  <c:x val="-9.6967779179897004E-17"/>
                  <c:y val="-8.784735588105191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893-45FF-B168-F96587528AEA}"/>
                </c:ext>
              </c:extLst>
            </c:dLbl>
            <c:dLbl>
              <c:idx val="9"/>
              <c:layout>
                <c:manualLayout>
                  <c:x val="-5.2892126923614674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893-45FF-B168-F96587528AE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 Settori'!$B$27:$B$36</c:f>
              <c:strCache>
                <c:ptCount val="10"/>
                <c:pt idx="0">
                  <c:v>Altro €7,5 mld</c:v>
                </c:pt>
                <c:pt idx="1">
                  <c:v>Mezzi di trasporto €2,5 mld</c:v>
                </c:pt>
                <c:pt idx="2">
                  <c:v>Prodotti chimici €2,9 mld</c:v>
                </c:pt>
                <c:pt idx="3">
                  <c:v>Gomma e plastica €4,8 mld</c:v>
                </c:pt>
                <c:pt idx="4">
                  <c:v>Apparecchi elettrici €6,5 mld</c:v>
                </c:pt>
                <c:pt idx="5">
                  <c:v>Prodotti in metallo €8,2 mld</c:v>
                </c:pt>
                <c:pt idx="6">
                  <c:v>Alimentari e bevande €8,8 mld</c:v>
                </c:pt>
                <c:pt idx="7">
                  <c:v>Tessile e abbigliamento €11 mld</c:v>
                </c:pt>
                <c:pt idx="8">
                  <c:v>Altra manifattura €12,1 mld</c:v>
                </c:pt>
                <c:pt idx="9">
                  <c:v>Meccanica strumentale €15,9 mld</c:v>
                </c:pt>
              </c:strCache>
            </c:strRef>
          </c:cat>
          <c:val>
            <c:numRef>
              <c:f>'Fig. Settori'!$D$27:$D$36</c:f>
              <c:numCache>
                <c:formatCode>0.0%</c:formatCode>
                <c:ptCount val="10"/>
                <c:pt idx="0">
                  <c:v>-4.7550298540082192E-2</c:v>
                </c:pt>
                <c:pt idx="1">
                  <c:v>-9.0698339452622623E-2</c:v>
                </c:pt>
                <c:pt idx="2">
                  <c:v>-0.10035573257654218</c:v>
                </c:pt>
                <c:pt idx="3">
                  <c:v>-6.8980765463617533E-2</c:v>
                </c:pt>
                <c:pt idx="4">
                  <c:v>2.3782450566482982E-2</c:v>
                </c:pt>
                <c:pt idx="5">
                  <c:v>-8.0502505921909551E-2</c:v>
                </c:pt>
                <c:pt idx="6">
                  <c:v>5.2168954391007549E-2</c:v>
                </c:pt>
                <c:pt idx="7">
                  <c:v>-3.3600470775117075E-2</c:v>
                </c:pt>
                <c:pt idx="8">
                  <c:v>1.6612542069280423E-2</c:v>
                </c:pt>
                <c:pt idx="9">
                  <c:v>7.8631911428250545E-2</c:v>
                </c:pt>
              </c:numCache>
            </c:numRef>
          </c:val>
          <c:extLst>
            <c:ext xmlns:c16="http://schemas.microsoft.com/office/drawing/2014/chart" uri="{C3380CC4-5D6E-409C-BE32-E72D297353CC}">
              <c16:uniqueId val="{0000000D-A893-45FF-B168-F96587528AEA}"/>
            </c:ext>
          </c:extLst>
        </c:ser>
        <c:dLbls>
          <c:showLegendKey val="0"/>
          <c:showVal val="0"/>
          <c:showCatName val="0"/>
          <c:showSerName val="0"/>
          <c:showPercent val="0"/>
          <c:showBubbleSize val="0"/>
        </c:dLbls>
        <c:gapWidth val="182"/>
        <c:axId val="297780191"/>
        <c:axId val="297755711"/>
      </c:barChart>
      <c:catAx>
        <c:axId val="297780191"/>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97755711"/>
        <c:crosses val="autoZero"/>
        <c:auto val="1"/>
        <c:lblAlgn val="ctr"/>
        <c:lblOffset val="100"/>
        <c:noMultiLvlLbl val="0"/>
      </c:catAx>
      <c:valAx>
        <c:axId val="297755711"/>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2977801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noFill/>
      <a:round/>
    </a:ln>
    <a:effectLst/>
  </c:spPr>
  <c:txPr>
    <a:bodyPr/>
    <a:lstStyle/>
    <a:p>
      <a:pPr>
        <a:defRPr/>
      </a:pPr>
      <a:endParaRPr lang="it-IT"/>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9938915135608051"/>
          <c:y val="7.9637033012480027E-2"/>
          <c:w val="0.35132195975503056"/>
          <c:h val="0.80407351243813374"/>
        </c:manualLayout>
      </c:layout>
      <c:barChart>
        <c:barDir val="bar"/>
        <c:grouping val="clustered"/>
        <c:varyColors val="0"/>
        <c:ser>
          <c:idx val="0"/>
          <c:order val="0"/>
          <c:tx>
            <c:strRef>
              <c:f>'3.1'!$B$28</c:f>
              <c:strCache>
                <c:ptCount val="1"/>
                <c:pt idx="0">
                  <c:v>Sì</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'3.1'!$A$29:$A$37</c:f>
              <c:strCache>
                <c:ptCount val="9"/>
                <c:pt idx="0">
                  <c:v>Aumento/miglioramento della presenza online (siti web, social, …)</c:v>
                </c:pt>
                <c:pt idx="1">
                  <c:v>Investimenti nel marketing digitale (email marketing, content marketing e performance marketing, Web analytics e automation, …)</c:v>
                </c:pt>
                <c:pt idx="2">
                  <c:v>Adozione di software necessari alla mappatura e gestione dei rischi, tra i quali anche quelli di sostenibilità ambientale</c:v>
                </c:pt>
                <c:pt idx="3">
                  <c:v>Aumento della formazione/istruzione a distanza offerta ai propri clienti all’estero</c:v>
                </c:pt>
                <c:pt idx="4">
                  <c:v>Aumento dell'offerta di “servizi virtuali” (es. sistemi di supporto da remoto, o data driven asset management)</c:v>
                </c:pt>
                <c:pt idx="5">
                  <c:v>Adozione di software di gestione delle relazioni con i clienti (es. chatbot o tool per il ticketing)</c:v>
                </c:pt>
                <c:pt idx="6">
                  <c:v>Adozione sistemi di e-commerce su piattaforma propria</c:v>
                </c:pt>
                <c:pt idx="7">
                  <c:v>Adozione sistemi di e-commerce su piattaforma di terzi</c:v>
                </c:pt>
                <c:pt idx="8">
                  <c:v>Introduzione di un digital export manager</c:v>
                </c:pt>
              </c:strCache>
            </c:strRef>
          </c:cat>
          <c:val>
            <c:numRef>
              <c:f>'3.1'!$B$29:$B$37</c:f>
              <c:numCache>
                <c:formatCode>0.0</c:formatCode>
                <c:ptCount val="9"/>
                <c:pt idx="0">
                  <c:v>48.600458016557958</c:v>
                </c:pt>
                <c:pt idx="1">
                  <c:v>32.501923196749601</c:v>
                </c:pt>
                <c:pt idx="2">
                  <c:v>30.465408662255783</c:v>
                </c:pt>
                <c:pt idx="3">
                  <c:v>23.029050731739275</c:v>
                </c:pt>
                <c:pt idx="4">
                  <c:v>16.759408836493133</c:v>
                </c:pt>
                <c:pt idx="5">
                  <c:v>15.117272990885613</c:v>
                </c:pt>
                <c:pt idx="6">
                  <c:v>11.616137370094687</c:v>
                </c:pt>
                <c:pt idx="7">
                  <c:v>8.24799972496624</c:v>
                </c:pt>
                <c:pt idx="8">
                  <c:v>7.2677658542426524</c:v>
                </c:pt>
              </c:numCache>
            </c:numRef>
          </c:val>
          <c:extLst>
            <c:ext xmlns:c16="http://schemas.microsoft.com/office/drawing/2014/chart" uri="{C3380CC4-5D6E-409C-BE32-E72D297353CC}">
              <c16:uniqueId val="{00000000-5DEF-4071-A706-A695DE1D9580}"/>
            </c:ext>
          </c:extLst>
        </c:ser>
        <c:ser>
          <c:idx val="1"/>
          <c:order val="1"/>
          <c:tx>
            <c:strRef>
              <c:f>'3.1'!$C$28</c:f>
              <c:strCache>
                <c:ptCount val="1"/>
                <c:pt idx="0">
                  <c:v>Già fatto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'3.1'!$A$29:$A$37</c:f>
              <c:strCache>
                <c:ptCount val="9"/>
                <c:pt idx="0">
                  <c:v>Aumento/miglioramento della presenza online (siti web, social, …)</c:v>
                </c:pt>
                <c:pt idx="1">
                  <c:v>Investimenti nel marketing digitale (email marketing, content marketing e performance marketing, Web analytics e automation, …)</c:v>
                </c:pt>
                <c:pt idx="2">
                  <c:v>Adozione di software necessari alla mappatura e gestione dei rischi, tra i quali anche quelli di sostenibilità ambientale</c:v>
                </c:pt>
                <c:pt idx="3">
                  <c:v>Aumento della formazione/istruzione a distanza offerta ai propri clienti all’estero</c:v>
                </c:pt>
                <c:pt idx="4">
                  <c:v>Aumento dell'offerta di “servizi virtuali” (es. sistemi di supporto da remoto, o data driven asset management)</c:v>
                </c:pt>
                <c:pt idx="5">
                  <c:v>Adozione di software di gestione delle relazioni con i clienti (es. chatbot o tool per il ticketing)</c:v>
                </c:pt>
                <c:pt idx="6">
                  <c:v>Adozione sistemi di e-commerce su piattaforma propria</c:v>
                </c:pt>
                <c:pt idx="7">
                  <c:v>Adozione sistemi di e-commerce su piattaforma di terzi</c:v>
                </c:pt>
                <c:pt idx="8">
                  <c:v>Introduzione di un digital export manager</c:v>
                </c:pt>
              </c:strCache>
            </c:strRef>
          </c:cat>
          <c:val>
            <c:numRef>
              <c:f>'3.1'!$C$29:$C$37</c:f>
              <c:numCache>
                <c:formatCode>0.0</c:formatCode>
                <c:ptCount val="9"/>
                <c:pt idx="0">
                  <c:v>27.095730847882859</c:v>
                </c:pt>
                <c:pt idx="1">
                  <c:v>15.021086735046666</c:v>
                </c:pt>
                <c:pt idx="2">
                  <c:v>4.6621183936344668</c:v>
                </c:pt>
                <c:pt idx="3">
                  <c:v>11.002634714932547</c:v>
                </c:pt>
                <c:pt idx="4">
                  <c:v>8.9702820622344035</c:v>
                </c:pt>
                <c:pt idx="5">
                  <c:v>7.8096647331357278</c:v>
                </c:pt>
                <c:pt idx="6">
                  <c:v>8.7048313724080124</c:v>
                </c:pt>
                <c:pt idx="7">
                  <c:v>7.1579815048069682</c:v>
                </c:pt>
                <c:pt idx="8">
                  <c:v>5.1210353731048075</c:v>
                </c:pt>
              </c:numCache>
            </c:numRef>
          </c:val>
          <c:extLst>
            <c:ext xmlns:c16="http://schemas.microsoft.com/office/drawing/2014/chart" uri="{C3380CC4-5D6E-409C-BE32-E72D297353CC}">
              <c16:uniqueId val="{00000001-5DEF-4071-A706-A695DE1D9580}"/>
            </c:ext>
          </c:extLst>
        </c:ser>
        <c:dLbls>
          <c:showLegendKey val="0"/>
          <c:showVal val="0"/>
          <c:showCatName val="0"/>
          <c:showSerName val="0"/>
          <c:showPercent val="0"/>
          <c:showBubbleSize val="0"/>
        </c:dLbls>
        <c:gapWidth val="182"/>
        <c:axId val="1315794623"/>
        <c:axId val="1315794143"/>
      </c:barChart>
      <c:catAx>
        <c:axId val="1315794623"/>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t-IT"/>
          </a:p>
        </c:txPr>
        <c:crossAx val="1315794143"/>
        <c:crosses val="autoZero"/>
        <c:auto val="1"/>
        <c:lblAlgn val="ctr"/>
        <c:lblOffset val="100"/>
        <c:noMultiLvlLbl val="0"/>
      </c:catAx>
      <c:valAx>
        <c:axId val="1315794143"/>
        <c:scaling>
          <c:orientation val="minMax"/>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315794623"/>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noFill/>
      <a:round/>
    </a:ln>
    <a:effectLst/>
  </c:spPr>
  <c:txPr>
    <a:bodyPr/>
    <a:lstStyle/>
    <a:p>
      <a:pPr>
        <a:defRPr/>
      </a:pPr>
      <a:endParaRPr lang="it-IT"/>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'3.2'!$B$14</c:f>
              <c:strCache>
                <c:ptCount val="1"/>
                <c:pt idx="0">
                  <c:v>Media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'3.2'!$A$15:$A$21</c:f>
              <c:strCache>
                <c:ptCount val="7"/>
                <c:pt idx="0">
                  <c:v>AI per identificare nuove opportunità, prevedere la domanda (di mercato) o analizzare i concorrenti</c:v>
                </c:pt>
                <c:pt idx="1">
                  <c:v>Intelligenza artificiale per monitorare le reti di fornitura</c:v>
                </c:pt>
                <c:pt idx="2">
                  <c:v>Ai generativa/il digitale per l’assistenza ai clienti (anche da remoto)</c:v>
                </c:pt>
                <c:pt idx="3">
                  <c:v>E-commerce</c:v>
                </c:pt>
                <c:pt idx="4">
                  <c:v>Large Language Models (AI Generativa) per il marketing digitale</c:v>
                </c:pt>
                <c:pt idx="5">
                  <c:v>Social commerce</c:v>
                </c:pt>
                <c:pt idx="6">
                  <c:v>La realtà virtuale immersiva (es. Metaverso)</c:v>
                </c:pt>
              </c:strCache>
            </c:strRef>
          </c:cat>
          <c:val>
            <c:numRef>
              <c:f>'3.2'!$B$15:$B$21</c:f>
              <c:numCache>
                <c:formatCode>0.00</c:formatCode>
                <c:ptCount val="7"/>
                <c:pt idx="0">
                  <c:v>2.8045454545454547</c:v>
                </c:pt>
                <c:pt idx="1">
                  <c:v>2.5615212527964206</c:v>
                </c:pt>
                <c:pt idx="2">
                  <c:v>2.5079726651480638</c:v>
                </c:pt>
                <c:pt idx="3">
                  <c:v>2.4942791762013732</c:v>
                </c:pt>
                <c:pt idx="4">
                  <c:v>2.4931192660550461</c:v>
                </c:pt>
                <c:pt idx="5">
                  <c:v>2.3046511627906976</c:v>
                </c:pt>
                <c:pt idx="6">
                  <c:v>1.8333333333333333</c:v>
                </c:pt>
              </c:numCache>
            </c:numRef>
          </c:val>
          <c:extLst>
            <c:ext xmlns:c16="http://schemas.microsoft.com/office/drawing/2014/chart" uri="{C3380CC4-5D6E-409C-BE32-E72D297353CC}">
              <c16:uniqueId val="{00000000-90BC-46FB-A378-C8BD56CD5C55}"/>
            </c:ext>
          </c:extLst>
        </c:ser>
        <c:dLbls>
          <c:showLegendKey val="0"/>
          <c:showVal val="0"/>
          <c:showCatName val="0"/>
          <c:showSerName val="0"/>
          <c:showPercent val="0"/>
          <c:showBubbleSize val="0"/>
        </c:dLbls>
        <c:gapWidth val="219"/>
        <c:axId val="203001455"/>
        <c:axId val="202998575"/>
      </c:barChart>
      <c:catAx>
        <c:axId val="203001455"/>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02998575"/>
        <c:crosses val="autoZero"/>
        <c:auto val="1"/>
        <c:lblAlgn val="ctr"/>
        <c:lblOffset val="100"/>
        <c:noMultiLvlLbl val="0"/>
      </c:catAx>
      <c:valAx>
        <c:axId val="202998575"/>
        <c:scaling>
          <c:orientation val="minMax"/>
          <c:min val="1"/>
        </c:scaling>
        <c:delete val="0"/>
        <c:axPos val="t"/>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03001455"/>
        <c:crosses val="autoZero"/>
        <c:crossBetween val="between"/>
        <c:majorUnit val="1"/>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it-IT"/>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'4.1'!$B$17</c:f>
              <c:strCache>
                <c:ptCount val="1"/>
                <c:pt idx="0">
                  <c:v>Media</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'4.1'!$A$18:$A$26</c:f>
              <c:strCache>
                <c:ptCount val="9"/>
                <c:pt idx="0">
                  <c:v>Analisi mercati potenziali (situazione geopolitica, rischio Paese, dati statistici dei flussi import/export per prodotto, ecc.)</c:v>
                </c:pt>
                <c:pt idx="1">
                  <c:v>Fiere internazionali</c:v>
                </c:pt>
                <c:pt idx="2">
                  <c:v>Missioni economiche all’estero (incontri B2B)</c:v>
                </c:pt>
                <c:pt idx="3">
                  <c:v>Primo orientamento su certificazioni e standard di prodotto nei mercati extra UE</c:v>
                </c:pt>
                <c:pt idx="4">
                  <c:v>Incoming di operatori esteri</c:v>
                </c:pt>
                <c:pt idx="5">
                  <c:v>Consulenza su vendita e marketing digitale</c:v>
                </c:pt>
                <c:pt idx="6">
                  <c:v>Webinar e convegni su temi legati al digitale e IA per l’export</c:v>
                </c:pt>
                <c:pt idx="7">
                  <c:v>Webinar e convegni su temi legati all’internazionalizzazione e all’export</c:v>
                </c:pt>
                <c:pt idx="8">
                  <c:v>Ricerca individuale di clienti e fornitori tramite Temporary Export Manager (TEM) o società di consulenza nei paesi esteri</c:v>
                </c:pt>
              </c:strCache>
            </c:strRef>
          </c:cat>
          <c:val>
            <c:numRef>
              <c:f>'4.1'!$B$18:$B$26</c:f>
              <c:numCache>
                <c:formatCode>0.0</c:formatCode>
                <c:ptCount val="9"/>
                <c:pt idx="0">
                  <c:v>3.5640449438202246</c:v>
                </c:pt>
                <c:pt idx="1">
                  <c:v>3.4026548672566372</c:v>
                </c:pt>
                <c:pt idx="2">
                  <c:v>3.0252293577981653</c:v>
                </c:pt>
                <c:pt idx="3">
                  <c:v>3.0115473441108547</c:v>
                </c:pt>
                <c:pt idx="4">
                  <c:v>2.9722222222222223</c:v>
                </c:pt>
                <c:pt idx="5">
                  <c:v>2.7351598173515983</c:v>
                </c:pt>
                <c:pt idx="6">
                  <c:v>2.5916473317865427</c:v>
                </c:pt>
                <c:pt idx="7">
                  <c:v>2.5817757009345796</c:v>
                </c:pt>
                <c:pt idx="8">
                  <c:v>2.5684454756380513</c:v>
                </c:pt>
              </c:numCache>
            </c:numRef>
          </c:val>
          <c:extLst>
            <c:ext xmlns:c16="http://schemas.microsoft.com/office/drawing/2014/chart" uri="{C3380CC4-5D6E-409C-BE32-E72D297353CC}">
              <c16:uniqueId val="{00000000-3F9D-4487-9088-A9968E040593}"/>
            </c:ext>
          </c:extLst>
        </c:ser>
        <c:dLbls>
          <c:showLegendKey val="0"/>
          <c:showVal val="0"/>
          <c:showCatName val="0"/>
          <c:showSerName val="0"/>
          <c:showPercent val="0"/>
          <c:showBubbleSize val="0"/>
        </c:dLbls>
        <c:gapWidth val="182"/>
        <c:axId val="1822545936"/>
        <c:axId val="1822529616"/>
      </c:barChart>
      <c:catAx>
        <c:axId val="182254593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822529616"/>
        <c:crosses val="autoZero"/>
        <c:auto val="1"/>
        <c:lblAlgn val="ctr"/>
        <c:lblOffset val="100"/>
        <c:noMultiLvlLbl val="0"/>
      </c:catAx>
      <c:valAx>
        <c:axId val="1822529616"/>
        <c:scaling>
          <c:orientation val="minMax"/>
          <c:min val="1"/>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822545936"/>
        <c:crosses val="autoZero"/>
        <c:crossBetween val="between"/>
        <c:majorUnit val="1"/>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ubbleChart>
        <c:varyColors val="0"/>
        <c:ser>
          <c:idx val="0"/>
          <c:order val="0"/>
          <c:spPr>
            <a:solidFill>
              <a:schemeClr val="accent1">
                <a:alpha val="75000"/>
              </a:schemeClr>
            </a:solidFill>
            <a:ln>
              <a:solidFill>
                <a:schemeClr val="bg2">
                  <a:lumMod val="50000"/>
                </a:schemeClr>
              </a:solidFill>
            </a:ln>
            <a:effectLst/>
          </c:spPr>
          <c:invertIfNegative val="0"/>
          <c:dPt>
            <c:idx val="0"/>
            <c:invertIfNegative val="0"/>
            <c:bubble3D val="0"/>
            <c:spPr>
              <a:solidFill>
                <a:srgbClr val="FFC000"/>
              </a:solidFill>
              <a:ln>
                <a:solidFill>
                  <a:schemeClr val="bg2">
                    <a:lumMod val="50000"/>
                  </a:schemeClr>
                </a:solidFill>
              </a:ln>
              <a:effectLst/>
            </c:spPr>
            <c:extLst>
              <c:ext xmlns:c16="http://schemas.microsoft.com/office/drawing/2014/chart" uri="{C3380CC4-5D6E-409C-BE32-E72D297353CC}">
                <c16:uniqueId val="{00000001-5E18-4C9E-B485-073CB8455B5B}"/>
              </c:ext>
            </c:extLst>
          </c:dPt>
          <c:dPt>
            <c:idx val="1"/>
            <c:invertIfNegative val="0"/>
            <c:bubble3D val="0"/>
            <c:spPr>
              <a:solidFill>
                <a:srgbClr val="FFC000"/>
              </a:solidFill>
              <a:ln>
                <a:solidFill>
                  <a:schemeClr val="bg2">
                    <a:lumMod val="50000"/>
                  </a:schemeClr>
                </a:solidFill>
              </a:ln>
              <a:effectLst/>
            </c:spPr>
            <c:extLst>
              <c:ext xmlns:c16="http://schemas.microsoft.com/office/drawing/2014/chart" uri="{C3380CC4-5D6E-409C-BE32-E72D297353CC}">
                <c16:uniqueId val="{00000003-5E18-4C9E-B485-073CB8455B5B}"/>
              </c:ext>
            </c:extLst>
          </c:dPt>
          <c:dPt>
            <c:idx val="3"/>
            <c:invertIfNegative val="0"/>
            <c:bubble3D val="0"/>
            <c:spPr>
              <a:solidFill>
                <a:srgbClr val="FFC000"/>
              </a:solidFill>
              <a:ln>
                <a:solidFill>
                  <a:schemeClr val="bg2">
                    <a:lumMod val="50000"/>
                  </a:schemeClr>
                </a:solidFill>
              </a:ln>
              <a:effectLst/>
            </c:spPr>
            <c:extLst>
              <c:ext xmlns:c16="http://schemas.microsoft.com/office/drawing/2014/chart" uri="{C3380CC4-5D6E-409C-BE32-E72D297353CC}">
                <c16:uniqueId val="{00000005-5E18-4C9E-B485-073CB8455B5B}"/>
              </c:ext>
            </c:extLst>
          </c:dPt>
          <c:dPt>
            <c:idx val="5"/>
            <c:invertIfNegative val="0"/>
            <c:bubble3D val="0"/>
            <c:spPr>
              <a:solidFill>
                <a:srgbClr val="FFC000"/>
              </a:solidFill>
              <a:ln>
                <a:solidFill>
                  <a:schemeClr val="bg2">
                    <a:lumMod val="50000"/>
                  </a:schemeClr>
                </a:solidFill>
              </a:ln>
              <a:effectLst/>
            </c:spPr>
            <c:extLst>
              <c:ext xmlns:c16="http://schemas.microsoft.com/office/drawing/2014/chart" uri="{C3380CC4-5D6E-409C-BE32-E72D297353CC}">
                <c16:uniqueId val="{00000007-5E18-4C9E-B485-073CB8455B5B}"/>
              </c:ext>
            </c:extLst>
          </c:dPt>
          <c:dPt>
            <c:idx val="6"/>
            <c:invertIfNegative val="0"/>
            <c:bubble3D val="0"/>
            <c:spPr>
              <a:solidFill>
                <a:srgbClr val="FFC000"/>
              </a:solidFill>
              <a:ln>
                <a:solidFill>
                  <a:schemeClr val="bg2">
                    <a:lumMod val="50000"/>
                  </a:schemeClr>
                </a:solidFill>
              </a:ln>
              <a:effectLst/>
            </c:spPr>
            <c:extLst>
              <c:ext xmlns:c16="http://schemas.microsoft.com/office/drawing/2014/chart" uri="{C3380CC4-5D6E-409C-BE32-E72D297353CC}">
                <c16:uniqueId val="{00000009-5E18-4C9E-B485-073CB8455B5B}"/>
              </c:ext>
            </c:extLst>
          </c:dPt>
          <c:dPt>
            <c:idx val="8"/>
            <c:invertIfNegative val="0"/>
            <c:bubble3D val="0"/>
            <c:spPr>
              <a:solidFill>
                <a:srgbClr val="FFC000"/>
              </a:solidFill>
              <a:ln>
                <a:solidFill>
                  <a:schemeClr val="bg2">
                    <a:lumMod val="50000"/>
                  </a:schemeClr>
                </a:solidFill>
              </a:ln>
              <a:effectLst/>
            </c:spPr>
            <c:extLst>
              <c:ext xmlns:c16="http://schemas.microsoft.com/office/drawing/2014/chart" uri="{C3380CC4-5D6E-409C-BE32-E72D297353CC}">
                <c16:uniqueId val="{0000000B-5E18-4C9E-B485-073CB8455B5B}"/>
              </c:ext>
            </c:extLst>
          </c:dPt>
          <c:dPt>
            <c:idx val="9"/>
            <c:invertIfNegative val="0"/>
            <c:bubble3D val="0"/>
            <c:spPr>
              <a:solidFill>
                <a:srgbClr val="FFC000"/>
              </a:solidFill>
              <a:ln>
                <a:solidFill>
                  <a:schemeClr val="bg2">
                    <a:lumMod val="50000"/>
                  </a:schemeClr>
                </a:solidFill>
              </a:ln>
              <a:effectLst/>
            </c:spPr>
            <c:extLst>
              <c:ext xmlns:c16="http://schemas.microsoft.com/office/drawing/2014/chart" uri="{C3380CC4-5D6E-409C-BE32-E72D297353CC}">
                <c16:uniqueId val="{0000000D-5E18-4C9E-B485-073CB8455B5B}"/>
              </c:ext>
            </c:extLst>
          </c:dPt>
          <c:dPt>
            <c:idx val="10"/>
            <c:invertIfNegative val="0"/>
            <c:bubble3D val="0"/>
            <c:spPr>
              <a:solidFill>
                <a:srgbClr val="FFC000"/>
              </a:solidFill>
              <a:ln>
                <a:solidFill>
                  <a:schemeClr val="bg2">
                    <a:lumMod val="50000"/>
                  </a:schemeClr>
                </a:solidFill>
              </a:ln>
              <a:effectLst/>
            </c:spPr>
            <c:extLst>
              <c:ext xmlns:c16="http://schemas.microsoft.com/office/drawing/2014/chart" uri="{C3380CC4-5D6E-409C-BE32-E72D297353CC}">
                <c16:uniqueId val="{0000000F-5E18-4C9E-B485-073CB8455B5B}"/>
              </c:ext>
            </c:extLst>
          </c:dPt>
          <c:dPt>
            <c:idx val="13"/>
            <c:invertIfNegative val="0"/>
            <c:bubble3D val="0"/>
            <c:spPr>
              <a:solidFill>
                <a:srgbClr val="FFC000"/>
              </a:solidFill>
              <a:ln>
                <a:solidFill>
                  <a:schemeClr val="bg2">
                    <a:lumMod val="50000"/>
                  </a:schemeClr>
                </a:solidFill>
              </a:ln>
              <a:effectLst/>
            </c:spPr>
            <c:extLst>
              <c:ext xmlns:c16="http://schemas.microsoft.com/office/drawing/2014/chart" uri="{C3380CC4-5D6E-409C-BE32-E72D297353CC}">
                <c16:uniqueId val="{00000011-5E18-4C9E-B485-073CB8455B5B}"/>
              </c:ext>
            </c:extLst>
          </c:dPt>
          <c:dPt>
            <c:idx val="14"/>
            <c:invertIfNegative val="0"/>
            <c:bubble3D val="0"/>
            <c:spPr>
              <a:solidFill>
                <a:schemeClr val="accent1">
                  <a:alpha val="75000"/>
                </a:schemeClr>
              </a:solidFill>
              <a:ln>
                <a:solidFill>
                  <a:schemeClr val="bg2">
                    <a:lumMod val="50000"/>
                  </a:schemeClr>
                </a:solidFill>
              </a:ln>
              <a:effectLst/>
            </c:spPr>
            <c:extLst>
              <c:ext xmlns:c16="http://schemas.microsoft.com/office/drawing/2014/chart" uri="{C3380CC4-5D6E-409C-BE32-E72D297353CC}">
                <c16:uniqueId val="{00000013-5E18-4C9E-B485-073CB8455B5B}"/>
              </c:ext>
            </c:extLst>
          </c:dPt>
          <c:dPt>
            <c:idx val="15"/>
            <c:invertIfNegative val="0"/>
            <c:bubble3D val="0"/>
            <c:spPr>
              <a:solidFill>
                <a:srgbClr val="FFC000"/>
              </a:solidFill>
              <a:ln>
                <a:solidFill>
                  <a:schemeClr val="bg2">
                    <a:lumMod val="50000"/>
                  </a:schemeClr>
                </a:solidFill>
              </a:ln>
              <a:effectLst/>
            </c:spPr>
            <c:extLst>
              <c:ext xmlns:c16="http://schemas.microsoft.com/office/drawing/2014/chart" uri="{C3380CC4-5D6E-409C-BE32-E72D297353CC}">
                <c16:uniqueId val="{00000015-5E18-4C9E-B485-073CB8455B5B}"/>
              </c:ext>
            </c:extLst>
          </c:dPt>
          <c:dPt>
            <c:idx val="16"/>
            <c:invertIfNegative val="0"/>
            <c:bubble3D val="0"/>
            <c:spPr>
              <a:solidFill>
                <a:srgbClr val="FFC000"/>
              </a:solidFill>
              <a:ln>
                <a:solidFill>
                  <a:schemeClr val="bg2">
                    <a:lumMod val="50000"/>
                  </a:schemeClr>
                </a:solidFill>
              </a:ln>
              <a:effectLst/>
            </c:spPr>
            <c:extLst>
              <c:ext xmlns:c16="http://schemas.microsoft.com/office/drawing/2014/chart" uri="{C3380CC4-5D6E-409C-BE32-E72D297353CC}">
                <c16:uniqueId val="{00000017-5E18-4C9E-B485-073CB8455B5B}"/>
              </c:ext>
            </c:extLst>
          </c:dPt>
          <c:dPt>
            <c:idx val="17"/>
            <c:invertIfNegative val="0"/>
            <c:bubble3D val="0"/>
            <c:spPr>
              <a:solidFill>
                <a:schemeClr val="accent1">
                  <a:alpha val="75000"/>
                </a:schemeClr>
              </a:solidFill>
              <a:ln>
                <a:solidFill>
                  <a:schemeClr val="bg2">
                    <a:lumMod val="50000"/>
                  </a:schemeClr>
                </a:solidFill>
              </a:ln>
              <a:effectLst/>
            </c:spPr>
            <c:extLst>
              <c:ext xmlns:c16="http://schemas.microsoft.com/office/drawing/2014/chart" uri="{C3380CC4-5D6E-409C-BE32-E72D297353CC}">
                <c16:uniqueId val="{00000019-5E18-4C9E-B485-073CB8455B5B}"/>
              </c:ext>
            </c:extLst>
          </c:dPt>
          <c:dPt>
            <c:idx val="18"/>
            <c:invertIfNegative val="0"/>
            <c:bubble3D val="0"/>
            <c:spPr>
              <a:solidFill>
                <a:srgbClr val="FFC000"/>
              </a:solidFill>
              <a:ln>
                <a:solidFill>
                  <a:schemeClr val="bg2">
                    <a:lumMod val="50000"/>
                  </a:schemeClr>
                </a:solidFill>
              </a:ln>
              <a:effectLst/>
            </c:spPr>
            <c:extLst>
              <c:ext xmlns:c16="http://schemas.microsoft.com/office/drawing/2014/chart" uri="{C3380CC4-5D6E-409C-BE32-E72D297353CC}">
                <c16:uniqueId val="{0000001B-5E18-4C9E-B485-073CB8455B5B}"/>
              </c:ext>
            </c:extLst>
          </c:dPt>
          <c:dPt>
            <c:idx val="19"/>
            <c:invertIfNegative val="0"/>
            <c:bubble3D val="0"/>
            <c:spPr>
              <a:solidFill>
                <a:srgbClr val="FFC000"/>
              </a:solidFill>
              <a:ln>
                <a:solidFill>
                  <a:schemeClr val="bg2">
                    <a:lumMod val="50000"/>
                  </a:schemeClr>
                </a:solidFill>
              </a:ln>
              <a:effectLst/>
            </c:spPr>
            <c:extLst>
              <c:ext xmlns:c16="http://schemas.microsoft.com/office/drawing/2014/chart" uri="{C3380CC4-5D6E-409C-BE32-E72D297353CC}">
                <c16:uniqueId val="{0000001D-5E18-4C9E-B485-073CB8455B5B}"/>
              </c:ext>
            </c:extLst>
          </c:dPt>
          <c:dLbls>
            <c:dLbl>
              <c:idx val="0"/>
              <c:layout>
                <c:manualLayout>
                  <c:x val="-0.18332157041531141"/>
                  <c:y val="0.157479505234532"/>
                </c:manualLayout>
              </c:layout>
              <c:tx>
                <c:rich>
                  <a:bodyPr/>
                  <a:lstStyle/>
                  <a:p>
                    <a:fld id="{19D991F3-0BF3-43AB-8145-D094E26D879F}" type="CELLRANGE">
                      <a:rPr lang="en-US"/>
                      <a:pPr/>
                      <a:t>[INTERVALLOCELLE]</a:t>
                    </a:fld>
                    <a:endParaRPr lang="it-IT"/>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5E18-4C9E-B485-073CB8455B5B}"/>
                </c:ext>
              </c:extLst>
            </c:dLbl>
            <c:dLbl>
              <c:idx val="1"/>
              <c:layout>
                <c:manualLayout>
                  <c:x val="-1.6666666666666666E-2"/>
                  <c:y val="-9.6028120159891678E-2"/>
                </c:manualLayout>
              </c:layout>
              <c:tx>
                <c:rich>
                  <a:bodyPr/>
                  <a:lstStyle/>
                  <a:p>
                    <a:fld id="{5A237E9C-0344-45E8-BEA6-BD40314B439B}" type="CELLRANGE">
                      <a:rPr lang="en-US"/>
                      <a:pPr/>
                      <a:t>[INTERVALLOCELLE]</a:t>
                    </a:fld>
                    <a:endParaRPr lang="it-IT"/>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5E18-4C9E-B485-073CB8455B5B}"/>
                </c:ext>
              </c:extLst>
            </c:dLbl>
            <c:dLbl>
              <c:idx val="2"/>
              <c:layout>
                <c:manualLayout>
                  <c:x val="-0.26388888888888895"/>
                  <c:y val="1.3888888888888888E-2"/>
                </c:manualLayout>
              </c:layout>
              <c:tx>
                <c:rich>
                  <a:bodyPr/>
                  <a:lstStyle/>
                  <a:p>
                    <a:fld id="{E6FC786B-4DE4-46BA-AF27-5896C8C6922B}" type="CELLRANGE">
                      <a:rPr lang="en-US"/>
                      <a:pPr/>
                      <a:t>[INTERVALLOCELLE]</a:t>
                    </a:fld>
                    <a:endParaRPr lang="it-IT"/>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E-5E18-4C9E-B485-073CB8455B5B}"/>
                </c:ext>
              </c:extLst>
            </c:dLbl>
            <c:dLbl>
              <c:idx val="3"/>
              <c:layout>
                <c:manualLayout>
                  <c:x val="8.3333333333333332E-3"/>
                  <c:y val="-0.16203703703703709"/>
                </c:manualLayout>
              </c:layout>
              <c:tx>
                <c:rich>
                  <a:bodyPr/>
                  <a:lstStyle/>
                  <a:p>
                    <a:fld id="{9F9AA55C-3BD0-4A76-94C5-7522EA2DB532}" type="CELLRANGE">
                      <a:rPr lang="en-US"/>
                      <a:pPr/>
                      <a:t>[INTERVALLOCELLE]</a:t>
                    </a:fld>
                    <a:endParaRPr lang="it-IT"/>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5E18-4C9E-B485-073CB8455B5B}"/>
                </c:ext>
              </c:extLst>
            </c:dLbl>
            <c:dLbl>
              <c:idx val="4"/>
              <c:layout>
                <c:manualLayout>
                  <c:x val="-0.16944444444444445"/>
                  <c:y val="-0.14814814814814814"/>
                </c:manualLayout>
              </c:layout>
              <c:tx>
                <c:rich>
                  <a:bodyPr/>
                  <a:lstStyle/>
                  <a:p>
                    <a:fld id="{A74A94B7-9E8A-4996-A5D4-96B7F4E0A7A5}" type="CELLRANGE">
                      <a:rPr lang="en-US"/>
                      <a:pPr/>
                      <a:t>[INTERVALLOCELLE]</a:t>
                    </a:fld>
                    <a:endParaRPr lang="it-IT"/>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F-5E18-4C9E-B485-073CB8455B5B}"/>
                </c:ext>
              </c:extLst>
            </c:dLbl>
            <c:dLbl>
              <c:idx val="5"/>
              <c:layout>
                <c:manualLayout>
                  <c:x val="-0.11666666666666667"/>
                  <c:y val="-0.11582241265778177"/>
                </c:manualLayout>
              </c:layout>
              <c:tx>
                <c:rich>
                  <a:bodyPr/>
                  <a:lstStyle/>
                  <a:p>
                    <a:fld id="{ACCF0880-0A46-4377-B0E0-57F987C46C67}" type="CELLRANGE">
                      <a:rPr lang="en-US"/>
                      <a:pPr/>
                      <a:t>[INTERVALLOCELLE]</a:t>
                    </a:fld>
                    <a:endParaRPr lang="it-IT"/>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5E18-4C9E-B485-073CB8455B5B}"/>
                </c:ext>
              </c:extLst>
            </c:dLbl>
            <c:dLbl>
              <c:idx val="6"/>
              <c:layout>
                <c:manualLayout>
                  <c:x val="-0.16945615865473132"/>
                  <c:y val="1.8590850154454015E-2"/>
                </c:manualLayout>
              </c:layout>
              <c:tx>
                <c:rich>
                  <a:bodyPr/>
                  <a:lstStyle/>
                  <a:p>
                    <a:fld id="{E305B03E-CD95-4EF0-9F47-6824328F127E}" type="CELLRANGE">
                      <a:rPr lang="en-US"/>
                      <a:pPr/>
                      <a:t>[INTERVALLOCELLE]</a:t>
                    </a:fld>
                    <a:endParaRPr lang="it-IT"/>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9-5E18-4C9E-B485-073CB8455B5B}"/>
                </c:ext>
              </c:extLst>
            </c:dLbl>
            <c:dLbl>
              <c:idx val="7"/>
              <c:layout>
                <c:manualLayout>
                  <c:x val="-0.23333340639493597"/>
                  <c:y val="-3.2479825450947054E-2"/>
                </c:manualLayout>
              </c:layout>
              <c:tx>
                <c:rich>
                  <a:bodyPr/>
                  <a:lstStyle/>
                  <a:p>
                    <a:fld id="{062A166D-6975-40EC-BB75-D05221B0AD85}" type="CELLRANGE">
                      <a:rPr lang="en-US"/>
                      <a:pPr/>
                      <a:t>[INTERVALLOCELLE]</a:t>
                    </a:fld>
                    <a:endParaRPr lang="it-IT"/>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0-5E18-4C9E-B485-073CB8455B5B}"/>
                </c:ext>
              </c:extLst>
            </c:dLbl>
            <c:dLbl>
              <c:idx val="8"/>
              <c:layout>
                <c:manualLayout>
                  <c:x val="-1.3888888888888888E-2"/>
                  <c:y val="-3.2979976442873968E-2"/>
                </c:manualLayout>
              </c:layout>
              <c:tx>
                <c:rich>
                  <a:bodyPr/>
                  <a:lstStyle/>
                  <a:p>
                    <a:fld id="{F5BA5887-E5E3-4D82-A42A-1B29E9D593F6}" type="CELLRANGE">
                      <a:rPr lang="en-US"/>
                      <a:pPr/>
                      <a:t>[INTERVALLOCELLE]</a:t>
                    </a:fld>
                    <a:endParaRPr lang="it-IT"/>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B-5E18-4C9E-B485-073CB8455B5B}"/>
                </c:ext>
              </c:extLst>
            </c:dLbl>
            <c:dLbl>
              <c:idx val="9"/>
              <c:layout>
                <c:manualLayout>
                  <c:x val="-3.0555555555555555E-2"/>
                  <c:y val="0.18083377387013902"/>
                </c:manualLayout>
              </c:layout>
              <c:tx>
                <c:rich>
                  <a:bodyPr/>
                  <a:lstStyle/>
                  <a:p>
                    <a:fld id="{177F2A28-73E7-415A-A41C-32B13348A6ED}" type="CELLRANGE">
                      <a:rPr lang="en-US"/>
                      <a:pPr/>
                      <a:t>[INTERVALLOCELLE]</a:t>
                    </a:fld>
                    <a:endParaRPr lang="it-IT"/>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D-5E18-4C9E-B485-073CB8455B5B}"/>
                </c:ext>
              </c:extLst>
            </c:dLbl>
            <c:dLbl>
              <c:idx val="10"/>
              <c:layout>
                <c:manualLayout>
                  <c:x val="-4.7222222222222221E-2"/>
                  <c:y val="-0.1991560242248871"/>
                </c:manualLayout>
              </c:layout>
              <c:tx>
                <c:rich>
                  <a:bodyPr/>
                  <a:lstStyle/>
                  <a:p>
                    <a:fld id="{AA9CA076-564C-4023-967E-2A98AA6DE0DA}" type="CELLRANGE">
                      <a:rPr lang="en-US"/>
                      <a:pPr/>
                      <a:t>[INTERVALLOCELLE]</a:t>
                    </a:fld>
                    <a:endParaRPr lang="it-IT"/>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F-5E18-4C9E-B485-073CB8455B5B}"/>
                </c:ext>
              </c:extLst>
            </c:dLbl>
            <c:dLbl>
              <c:idx val="11"/>
              <c:layout>
                <c:manualLayout>
                  <c:x val="-7.4999999999999997E-2"/>
                  <c:y val="-7.8703703703703748E-2"/>
                </c:manualLayout>
              </c:layout>
              <c:tx>
                <c:rich>
                  <a:bodyPr/>
                  <a:lstStyle/>
                  <a:p>
                    <a:fld id="{D03D2302-0DE5-40BB-8B79-AFDA7E5591C0}" type="CELLRANGE">
                      <a:rPr lang="en-US"/>
                      <a:pPr/>
                      <a:t>[INTERVALLOCELLE]</a:t>
                    </a:fld>
                    <a:endParaRPr lang="it-IT"/>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1-5E18-4C9E-B485-073CB8455B5B}"/>
                </c:ext>
              </c:extLst>
            </c:dLbl>
            <c:dLbl>
              <c:idx val="12"/>
              <c:layout>
                <c:manualLayout>
                  <c:x val="-8.0555555555555575E-2"/>
                  <c:y val="-9.7222222222222265E-2"/>
                </c:manualLayout>
              </c:layout>
              <c:tx>
                <c:rich>
                  <a:bodyPr/>
                  <a:lstStyle/>
                  <a:p>
                    <a:fld id="{99EAA2A6-4B34-40D0-A96D-067DD60F453E}" type="CELLRANGE">
                      <a:rPr lang="en-US"/>
                      <a:pPr/>
                      <a:t>[INTERVALLOCELLE]</a:t>
                    </a:fld>
                    <a:endParaRPr lang="it-IT"/>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22-5E18-4C9E-B485-073CB8455B5B}"/>
                </c:ext>
              </c:extLst>
            </c:dLbl>
            <c:dLbl>
              <c:idx val="13"/>
              <c:layout>
                <c:manualLayout>
                  <c:x val="5.5555555555555558E-3"/>
                  <c:y val="8.3333240588742655E-2"/>
                </c:manualLayout>
              </c:layout>
              <c:tx>
                <c:rich>
                  <a:bodyPr/>
                  <a:lstStyle/>
                  <a:p>
                    <a:fld id="{BA49EFA7-82FB-4C3C-AC19-8E79CAFD33DE}" type="CELLRANGE">
                      <a:rPr lang="en-US"/>
                      <a:pPr/>
                      <a:t>[INTERVALLOCELLE]</a:t>
                    </a:fld>
                    <a:endParaRPr lang="it-IT"/>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1-5E18-4C9E-B485-073CB8455B5B}"/>
                </c:ext>
              </c:extLst>
            </c:dLbl>
            <c:dLbl>
              <c:idx val="14"/>
              <c:tx>
                <c:rich>
                  <a:bodyPr/>
                  <a:lstStyle/>
                  <a:p>
                    <a:fld id="{6A51A6C0-E6EB-48F2-A28C-296D05F382B5}" type="CELLRANGE">
                      <a:rPr lang="it-IT"/>
                      <a:pPr/>
                      <a:t>[INTERVALLOCELLE]</a:t>
                    </a:fld>
                    <a:endParaRPr lang="it-I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3-5E18-4C9E-B485-073CB8455B5B}"/>
                </c:ext>
              </c:extLst>
            </c:dLbl>
            <c:dLbl>
              <c:idx val="15"/>
              <c:layout>
                <c:manualLayout>
                  <c:x val="-2.5000000000000102E-2"/>
                  <c:y val="6.6777960175472675E-2"/>
                </c:manualLayout>
              </c:layout>
              <c:tx>
                <c:rich>
                  <a:bodyPr/>
                  <a:lstStyle/>
                  <a:p>
                    <a:fld id="{B3D875D0-90D3-48C0-B863-07C8D9F32F56}" type="CELLRANGE">
                      <a:rPr lang="en-US"/>
                      <a:pPr/>
                      <a:t>[INTERVALLOCELLE]</a:t>
                    </a:fld>
                    <a:endParaRPr lang="it-IT"/>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5-5E18-4C9E-B485-073CB8455B5B}"/>
                </c:ext>
              </c:extLst>
            </c:dLbl>
            <c:dLbl>
              <c:idx val="16"/>
              <c:layout>
                <c:manualLayout>
                  <c:x val="-0.15866788241173427"/>
                  <c:y val="-4.6477125386135333E-2"/>
                </c:manualLayout>
              </c:layout>
              <c:tx>
                <c:rich>
                  <a:bodyPr/>
                  <a:lstStyle/>
                  <a:p>
                    <a:fld id="{1C8757B3-043C-408F-B6E3-AC311DD9635B}" type="CELLRANGE">
                      <a:rPr lang="en-US"/>
                      <a:pPr/>
                      <a:t>[INTERVALLOCELLE]</a:t>
                    </a:fld>
                    <a:endParaRPr lang="it-IT"/>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7-5E18-4C9E-B485-073CB8455B5B}"/>
                </c:ext>
              </c:extLst>
            </c:dLbl>
            <c:dLbl>
              <c:idx val="17"/>
              <c:layout>
                <c:manualLayout>
                  <c:x val="-7.7777777777777779E-2"/>
                  <c:y val="0.10648148148148148"/>
                </c:manualLayout>
              </c:layout>
              <c:tx>
                <c:rich>
                  <a:bodyPr/>
                  <a:lstStyle/>
                  <a:p>
                    <a:fld id="{97C20658-5E20-4761-B6CD-3F3C2379EABD}" type="CELLRANGE">
                      <a:rPr lang="en-US"/>
                      <a:pPr/>
                      <a:t>[INTERVALLOCELLE]</a:t>
                    </a:fld>
                    <a:endParaRPr lang="it-IT"/>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9-5E18-4C9E-B485-073CB8455B5B}"/>
                </c:ext>
              </c:extLst>
            </c:dLbl>
            <c:dLbl>
              <c:idx val="18"/>
              <c:tx>
                <c:rich>
                  <a:bodyPr/>
                  <a:lstStyle/>
                  <a:p>
                    <a:fld id="{C17E024E-C8BD-4F4E-9AAD-EFF4E4B2B039}" type="CELLRANGE">
                      <a:rPr lang="it-IT"/>
                      <a:pPr/>
                      <a:t>[INTERVALLOCELLE]</a:t>
                    </a:fld>
                    <a:endParaRPr lang="it-IT"/>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B-5E18-4C9E-B485-073CB8455B5B}"/>
                </c:ext>
              </c:extLst>
            </c:dLbl>
            <c:dLbl>
              <c:idx val="19"/>
              <c:layout>
                <c:manualLayout>
                  <c:x val="-0.10299494121463453"/>
                  <c:y val="0.10689738838811108"/>
                </c:manualLayout>
              </c:layout>
              <c:tx>
                <c:rich>
                  <a:bodyPr/>
                  <a:lstStyle/>
                  <a:p>
                    <a:fld id="{034DE212-95C6-4C01-A22D-F5E3B09BE78F}" type="CELLRANGE">
                      <a:rPr lang="en-US"/>
                      <a:pPr/>
                      <a:t>[INTERVALLOCELLE]</a:t>
                    </a:fld>
                    <a:endParaRPr lang="it-IT"/>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D-5E18-4C9E-B485-073CB8455B5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xVal>
            <c:numRef>
              <c:f>'Fig. Paesi'!$H$3:$H$22</c:f>
              <c:numCache>
                <c:formatCode>0.0%</c:formatCode>
                <c:ptCount val="20"/>
                <c:pt idx="0">
                  <c:v>-7.9781408293004841E-3</c:v>
                </c:pt>
                <c:pt idx="1">
                  <c:v>2.3436920671376038E-2</c:v>
                </c:pt>
                <c:pt idx="2">
                  <c:v>-5.8778008234759871E-2</c:v>
                </c:pt>
                <c:pt idx="3">
                  <c:v>9.4041215360056718E-3</c:v>
                </c:pt>
                <c:pt idx="4">
                  <c:v>-3.8892354361712678E-2</c:v>
                </c:pt>
                <c:pt idx="5">
                  <c:v>-1.520308876337817E-2</c:v>
                </c:pt>
                <c:pt idx="6">
                  <c:v>-9.571895611757486E-2</c:v>
                </c:pt>
                <c:pt idx="7">
                  <c:v>-4.1786730069879763E-2</c:v>
                </c:pt>
                <c:pt idx="8">
                  <c:v>5.449791057626574E-2</c:v>
                </c:pt>
                <c:pt idx="9">
                  <c:v>1.1585418270009029E-2</c:v>
                </c:pt>
                <c:pt idx="10">
                  <c:v>8.2344503627340693E-3</c:v>
                </c:pt>
                <c:pt idx="11">
                  <c:v>0.19</c:v>
                </c:pt>
                <c:pt idx="12">
                  <c:v>-0.12093951303912587</c:v>
                </c:pt>
                <c:pt idx="13">
                  <c:v>3.8798348044066566E-2</c:v>
                </c:pt>
                <c:pt idx="14">
                  <c:v>3.390633022533196E-2</c:v>
                </c:pt>
                <c:pt idx="15">
                  <c:v>0.13859212058431414</c:v>
                </c:pt>
                <c:pt idx="16">
                  <c:v>-4.8573500458414576E-2</c:v>
                </c:pt>
                <c:pt idx="17">
                  <c:v>0.15432898496847081</c:v>
                </c:pt>
                <c:pt idx="18">
                  <c:v>4.2243412536442371E-2</c:v>
                </c:pt>
                <c:pt idx="19">
                  <c:v>-5.1278049158063332E-2</c:v>
                </c:pt>
              </c:numCache>
            </c:numRef>
          </c:xVal>
          <c:yVal>
            <c:numRef>
              <c:f>'Fig. Paesi'!$I$3:$I$22</c:f>
              <c:numCache>
                <c:formatCode>0.0%</c:formatCode>
                <c:ptCount val="20"/>
                <c:pt idx="0">
                  <c:v>-5.482381331199937E-2</c:v>
                </c:pt>
                <c:pt idx="1">
                  <c:v>-8.1410166864459566E-3</c:v>
                </c:pt>
                <c:pt idx="2">
                  <c:v>-3.8483447942173621E-2</c:v>
                </c:pt>
                <c:pt idx="3">
                  <c:v>2.9225082471208808E-2</c:v>
                </c:pt>
                <c:pt idx="4">
                  <c:v>-1.5253120894903827E-2</c:v>
                </c:pt>
                <c:pt idx="5">
                  <c:v>3.0131196062334054E-2</c:v>
                </c:pt>
                <c:pt idx="6">
                  <c:v>-8.5808042662968709E-2</c:v>
                </c:pt>
                <c:pt idx="7">
                  <c:v>-3.3064124420105423E-2</c:v>
                </c:pt>
                <c:pt idx="8">
                  <c:v>-4.1986055049959559E-2</c:v>
                </c:pt>
                <c:pt idx="9">
                  <c:v>-2.4111620658413657E-2</c:v>
                </c:pt>
                <c:pt idx="10">
                  <c:v>3.3090058978029413E-2</c:v>
                </c:pt>
                <c:pt idx="11">
                  <c:v>9.4061300938289572E-2</c:v>
                </c:pt>
                <c:pt idx="12">
                  <c:v>3.6479944182139734E-2</c:v>
                </c:pt>
                <c:pt idx="13">
                  <c:v>-4.0198886150324853E-2</c:v>
                </c:pt>
                <c:pt idx="14">
                  <c:v>0.18760528913489072</c:v>
                </c:pt>
                <c:pt idx="15">
                  <c:v>-1.2135241784879236E-2</c:v>
                </c:pt>
                <c:pt idx="16">
                  <c:v>-5.146528764306213E-3</c:v>
                </c:pt>
                <c:pt idx="17">
                  <c:v>8.1651607461897591E-2</c:v>
                </c:pt>
                <c:pt idx="18">
                  <c:v>6.7176790442175838E-2</c:v>
                </c:pt>
                <c:pt idx="19">
                  <c:v>-5.1528254818426156E-2</c:v>
                </c:pt>
              </c:numCache>
            </c:numRef>
          </c:yVal>
          <c:bubbleSize>
            <c:numRef>
              <c:f>'Fig. Paesi'!$J$3:$J$22</c:f>
              <c:numCache>
                <c:formatCode>_-* #,##0.0_-;\-* #,##0.0_-;_-* "-"??_-;_-@_-</c:formatCode>
                <c:ptCount val="20"/>
                <c:pt idx="0">
                  <c:v>10.533044277</c:v>
                </c:pt>
                <c:pt idx="1">
                  <c:v>9.0989500169999999</c:v>
                </c:pt>
                <c:pt idx="2">
                  <c:v>7.2729853000000002</c:v>
                </c:pt>
                <c:pt idx="3">
                  <c:v>4.1305662209999996</c:v>
                </c:pt>
                <c:pt idx="4">
                  <c:v>3.4817940379999999</c:v>
                </c:pt>
                <c:pt idx="5">
                  <c:v>2.9513245530000001</c:v>
                </c:pt>
                <c:pt idx="6">
                  <c:v>2.3961103010000002</c:v>
                </c:pt>
                <c:pt idx="7">
                  <c:v>2.3036417450000002</c:v>
                </c:pt>
                <c:pt idx="8">
                  <c:v>2.18853433</c:v>
                </c:pt>
                <c:pt idx="9">
                  <c:v>2.139188146</c:v>
                </c:pt>
                <c:pt idx="10">
                  <c:v>2.0684334629999999</c:v>
                </c:pt>
                <c:pt idx="11">
                  <c:v>1.817760525</c:v>
                </c:pt>
                <c:pt idx="12">
                  <c:v>1.4697232520000001</c:v>
                </c:pt>
                <c:pt idx="13">
                  <c:v>1.341095843</c:v>
                </c:pt>
                <c:pt idx="14">
                  <c:v>1.0470325309999999</c:v>
                </c:pt>
                <c:pt idx="15">
                  <c:v>1.20510809</c:v>
                </c:pt>
                <c:pt idx="16">
                  <c:v>1.12743251</c:v>
                </c:pt>
                <c:pt idx="17">
                  <c:v>0.93728135400000001</c:v>
                </c:pt>
                <c:pt idx="18">
                  <c:v>0.83778956800000004</c:v>
                </c:pt>
                <c:pt idx="19">
                  <c:v>1.021388022</c:v>
                </c:pt>
              </c:numCache>
            </c:numRef>
          </c:bubbleSize>
          <c:bubble3D val="0"/>
          <c:extLst>
            <c:ext xmlns:c15="http://schemas.microsoft.com/office/drawing/2012/chart" uri="{02D57815-91ED-43cb-92C2-25804820EDAC}">
              <c15:datalabelsRange>
                <c15:f>'Fig. Paesi'!$G$3:$G$22</c15:f>
                <c15:dlblRangeCache>
                  <c:ptCount val="20"/>
                  <c:pt idx="0">
                    <c:v>Germania</c:v>
                  </c:pt>
                  <c:pt idx="1">
                    <c:v>Francia</c:v>
                  </c:pt>
                  <c:pt idx="2">
                    <c:v>Stati Uniti</c:v>
                  </c:pt>
                  <c:pt idx="3">
                    <c:v>Spagna</c:v>
                  </c:pt>
                  <c:pt idx="4">
                    <c:v>Regno Unito</c:v>
                  </c:pt>
                  <c:pt idx="5">
                    <c:v>Polonia</c:v>
                  </c:pt>
                  <c:pt idx="6">
                    <c:v>Austria</c:v>
                  </c:pt>
                  <c:pt idx="7">
                    <c:v>Svizzera</c:v>
                  </c:pt>
                  <c:pt idx="8">
                    <c:v>Paesi Bassi</c:v>
                  </c:pt>
                  <c:pt idx="9">
                    <c:v>Romania</c:v>
                  </c:pt>
                  <c:pt idx="10">
                    <c:v>Belgio</c:v>
                  </c:pt>
                  <c:pt idx="11">
                    <c:v>Turchia</c:v>
                  </c:pt>
                  <c:pt idx="12">
                    <c:v>Cina</c:v>
                  </c:pt>
                  <c:pt idx="13">
                    <c:v>Cechia</c:v>
                  </c:pt>
                  <c:pt idx="14">
                    <c:v>Emirati Arabi Uniti</c:v>
                  </c:pt>
                  <c:pt idx="15">
                    <c:v>Croazia</c:v>
                  </c:pt>
                  <c:pt idx="16">
                    <c:v>Svezia</c:v>
                  </c:pt>
                  <c:pt idx="17">
                    <c:v>Messico</c:v>
                  </c:pt>
                  <c:pt idx="18">
                    <c:v>Grecia</c:v>
                  </c:pt>
                  <c:pt idx="19">
                    <c:v>Ungheria</c:v>
                  </c:pt>
                </c15:dlblRangeCache>
              </c15:datalabelsRange>
            </c:ext>
            <c:ext xmlns:c16="http://schemas.microsoft.com/office/drawing/2014/chart" uri="{C3380CC4-5D6E-409C-BE32-E72D297353CC}">
              <c16:uniqueId val="{00000023-5E18-4C9E-B485-073CB8455B5B}"/>
            </c:ext>
          </c:extLst>
        </c:ser>
        <c:dLbls>
          <c:showLegendKey val="0"/>
          <c:showVal val="0"/>
          <c:showCatName val="0"/>
          <c:showSerName val="0"/>
          <c:showPercent val="0"/>
          <c:showBubbleSize val="0"/>
        </c:dLbls>
        <c:bubbleScale val="100"/>
        <c:showNegBubbles val="0"/>
        <c:axId val="340414672"/>
        <c:axId val="340407952"/>
      </c:bubbleChart>
      <c:valAx>
        <c:axId val="340414672"/>
        <c:scaling>
          <c:orientation val="minMax"/>
          <c:max val="0.2"/>
          <c:min val="-0.2"/>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t-IT"/>
                  <a:t>var % 2024</a:t>
                </a:r>
              </a:p>
            </c:rich>
          </c:tx>
          <c:layout>
            <c:manualLayout>
              <c:xMode val="edge"/>
              <c:yMode val="edge"/>
              <c:x val="0.43780905511811019"/>
              <c:y val="0.9203470399533392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t-IT"/>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340407952"/>
        <c:crosses val="autoZero"/>
        <c:crossBetween val="midCat"/>
        <c:minorUnit val="0.4"/>
      </c:valAx>
      <c:valAx>
        <c:axId val="340407952"/>
        <c:scaling>
          <c:orientation val="minMax"/>
          <c:max val="0.2"/>
          <c:min val="-0.2"/>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t-IT"/>
                  <a:t>var % 2024</a:t>
                </a:r>
              </a:p>
            </c:rich>
          </c:tx>
          <c:layout>
            <c:manualLayout>
              <c:xMode val="edge"/>
              <c:yMode val="edge"/>
              <c:x val="2.7777777777777779E-3"/>
              <c:y val="0.3861287480407705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t-IT"/>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340414672"/>
        <c:crosses val="autoZero"/>
        <c:crossBetween val="midCat"/>
        <c:minorUnit val="0.4"/>
      </c:valAx>
      <c:spPr>
        <a:noFill/>
        <a:ln>
          <a:solidFill>
            <a:schemeClr val="bg2">
              <a:lumMod val="90000"/>
            </a:schemeClr>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it-IT"/>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'2.1'!$A$3:$A$12</c:f>
              <c:strCache>
                <c:ptCount val="10"/>
                <c:pt idx="0">
                  <c:v>Esportazioni dirette al cliente finale, grossisti o distributori locali</c:v>
                </c:pt>
                <c:pt idx="1">
                  <c:v>Vendita occasionale</c:v>
                </c:pt>
                <c:pt idx="2">
                  <c:v>Importazioni di materiali e componenti</c:v>
                </c:pt>
                <c:pt idx="3">
                  <c:v>Esportazioni in regime di subfornitura</c:v>
                </c:pt>
                <c:pt idx="4">
                  <c:v>Vendita all’estero con proprie filiali commerciali o negozi</c:v>
                </c:pt>
                <c:pt idx="5">
                  <c:v>Uffici di rappresentanza commerciale (no filiali o negozi)</c:v>
                </c:pt>
                <c:pt idx="6">
                  <c:v>Produzione all’estero con proprie sedi e stabilimenti</c:v>
                </c:pt>
                <c:pt idx="7">
                  <c:v>Acquisto di impianti e tecnologie dall’estero</c:v>
                </c:pt>
                <c:pt idx="8">
                  <c:v>Produzione all’estero con accordi/contratti con imprese locali</c:v>
                </c:pt>
                <c:pt idx="9">
                  <c:v>Altro</c:v>
                </c:pt>
              </c:strCache>
            </c:strRef>
          </c:cat>
          <c:val>
            <c:numRef>
              <c:f>'2.1'!$B$3:$B$12</c:f>
              <c:numCache>
                <c:formatCode>0.0</c:formatCode>
                <c:ptCount val="10"/>
                <c:pt idx="0">
                  <c:v>71.405293748277757</c:v>
                </c:pt>
                <c:pt idx="1">
                  <c:v>21.201174009556407</c:v>
                </c:pt>
                <c:pt idx="2">
                  <c:v>20.88384144530183</c:v>
                </c:pt>
                <c:pt idx="3">
                  <c:v>14.289931078859647</c:v>
                </c:pt>
                <c:pt idx="4">
                  <c:v>8.976833449953789</c:v>
                </c:pt>
                <c:pt idx="5">
                  <c:v>4.1862152682130604</c:v>
                </c:pt>
                <c:pt idx="6">
                  <c:v>3.2836295533061479</c:v>
                </c:pt>
                <c:pt idx="7">
                  <c:v>2.9311197880255224</c:v>
                </c:pt>
                <c:pt idx="8">
                  <c:v>2.7489661130659213</c:v>
                </c:pt>
                <c:pt idx="9">
                  <c:v>1.3816486081692134</c:v>
                </c:pt>
              </c:numCache>
            </c:numRef>
          </c:val>
          <c:extLst>
            <c:ext xmlns:c16="http://schemas.microsoft.com/office/drawing/2014/chart" uri="{C3380CC4-5D6E-409C-BE32-E72D297353CC}">
              <c16:uniqueId val="{00000000-44C4-43F9-82DC-8C3C17C105FD}"/>
            </c:ext>
          </c:extLst>
        </c:ser>
        <c:dLbls>
          <c:showLegendKey val="0"/>
          <c:showVal val="0"/>
          <c:showCatName val="0"/>
          <c:showSerName val="0"/>
          <c:showPercent val="0"/>
          <c:showBubbleSize val="0"/>
        </c:dLbls>
        <c:gapWidth val="182"/>
        <c:axId val="1404292591"/>
        <c:axId val="1404297391"/>
      </c:barChart>
      <c:catAx>
        <c:axId val="1404292591"/>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it-IT"/>
          </a:p>
        </c:txPr>
        <c:crossAx val="1404297391"/>
        <c:crosses val="autoZero"/>
        <c:auto val="1"/>
        <c:lblAlgn val="ctr"/>
        <c:lblOffset val="100"/>
        <c:noMultiLvlLbl val="0"/>
      </c:catAx>
      <c:valAx>
        <c:axId val="1404297391"/>
        <c:scaling>
          <c:orientation val="minMax"/>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04292591"/>
        <c:crosses val="autoZero"/>
        <c:crossBetween val="between"/>
        <c:majorUnit val="2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it-I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'2.3'!$L$13</c:f>
              <c:strCache>
                <c:ptCount val="1"/>
                <c:pt idx="0">
                  <c:v>Altri settori</c:v>
                </c:pt>
              </c:strCache>
            </c:strRef>
          </c:tx>
          <c:spPr>
            <a:solidFill>
              <a:schemeClr val="accent1"/>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'2.3'!$K$14:$K$19</c:f>
              <c:strCache>
                <c:ptCount val="6"/>
                <c:pt idx="0">
                  <c:v>Aumento di più del 10%</c:v>
                </c:pt>
                <c:pt idx="1">
                  <c:v>Aumento tra 3 e 10%</c:v>
                </c:pt>
                <c:pt idx="2">
                  <c:v>Stabile (+/- 3%)</c:v>
                </c:pt>
                <c:pt idx="3">
                  <c:v>Diminuzione tra 3 e 10%</c:v>
                </c:pt>
                <c:pt idx="4">
                  <c:v>Diminuzione di più del 10%</c:v>
                </c:pt>
                <c:pt idx="5">
                  <c:v>n.r.</c:v>
                </c:pt>
              </c:strCache>
            </c:strRef>
          </c:cat>
          <c:val>
            <c:numRef>
              <c:f>'2.3'!$L$14:$L$19</c:f>
              <c:numCache>
                <c:formatCode>0.0</c:formatCode>
                <c:ptCount val="6"/>
                <c:pt idx="0">
                  <c:v>11.477600780249862</c:v>
                </c:pt>
                <c:pt idx="1">
                  <c:v>23.305315964289118</c:v>
                </c:pt>
                <c:pt idx="2">
                  <c:v>53.486926401597614</c:v>
                </c:pt>
                <c:pt idx="3">
                  <c:v>5.2021488283354369</c:v>
                </c:pt>
                <c:pt idx="4">
                  <c:v>4.362630269023839</c:v>
                </c:pt>
                <c:pt idx="5">
                  <c:v>2.1653777565041383</c:v>
                </c:pt>
              </c:numCache>
            </c:numRef>
          </c:val>
          <c:extLst>
            <c:ext xmlns:c16="http://schemas.microsoft.com/office/drawing/2014/chart" uri="{C3380CC4-5D6E-409C-BE32-E72D297353CC}">
              <c16:uniqueId val="{00000000-7CC5-4F8B-A8E9-15B5DB0D2A50}"/>
            </c:ext>
          </c:extLst>
        </c:ser>
        <c:ser>
          <c:idx val="1"/>
          <c:order val="1"/>
          <c:tx>
            <c:strRef>
              <c:f>'2.3'!$M$13</c:f>
              <c:strCache>
                <c:ptCount val="1"/>
                <c:pt idx="0">
                  <c:v>Metalmeccanica</c:v>
                </c:pt>
              </c:strCache>
            </c:strRef>
          </c:tx>
          <c:spPr>
            <a:solidFill>
              <a:schemeClr val="accent5">
                <a:lumMod val="60000"/>
                <a:lumOff val="40000"/>
              </a:schemeClr>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'2.3'!$K$14:$K$19</c:f>
              <c:strCache>
                <c:ptCount val="6"/>
                <c:pt idx="0">
                  <c:v>Aumento di più del 10%</c:v>
                </c:pt>
                <c:pt idx="1">
                  <c:v>Aumento tra 3 e 10%</c:v>
                </c:pt>
                <c:pt idx="2">
                  <c:v>Stabile (+/- 3%)</c:v>
                </c:pt>
                <c:pt idx="3">
                  <c:v>Diminuzione tra 3 e 10%</c:v>
                </c:pt>
                <c:pt idx="4">
                  <c:v>Diminuzione di più del 10%</c:v>
                </c:pt>
                <c:pt idx="5">
                  <c:v>n.r.</c:v>
                </c:pt>
              </c:strCache>
            </c:strRef>
          </c:cat>
          <c:val>
            <c:numRef>
              <c:f>'2.3'!$M$14:$M$19</c:f>
              <c:numCache>
                <c:formatCode>0.0</c:formatCode>
                <c:ptCount val="6"/>
                <c:pt idx="0">
                  <c:v>5.8785746567481398</c:v>
                </c:pt>
                <c:pt idx="1">
                  <c:v>30.231254645133948</c:v>
                </c:pt>
                <c:pt idx="2">
                  <c:v>54.555450423389665</c:v>
                </c:pt>
                <c:pt idx="3">
                  <c:v>4.8621604268463896</c:v>
                </c:pt>
                <c:pt idx="4">
                  <c:v>2.5709552900268471</c:v>
                </c:pt>
                <c:pt idx="5">
                  <c:v>1.9016045578550138</c:v>
                </c:pt>
              </c:numCache>
            </c:numRef>
          </c:val>
          <c:extLst>
            <c:ext xmlns:c16="http://schemas.microsoft.com/office/drawing/2014/chart" uri="{C3380CC4-5D6E-409C-BE32-E72D297353CC}">
              <c16:uniqueId val="{00000001-7CC5-4F8B-A8E9-15B5DB0D2A50}"/>
            </c:ext>
          </c:extLst>
        </c:ser>
        <c:ser>
          <c:idx val="2"/>
          <c:order val="2"/>
          <c:tx>
            <c:strRef>
              <c:f>'2.3'!$N$13</c:f>
              <c:strCache>
                <c:ptCount val="1"/>
                <c:pt idx="0">
                  <c:v>Totale</c:v>
                </c:pt>
              </c:strCache>
            </c:strRef>
          </c:tx>
          <c:spPr>
            <a:solidFill>
              <a:schemeClr val="accent2"/>
            </a:solidFill>
            <a:ln>
              <a:solidFill>
                <a:srgbClr val="FFC000"/>
              </a:solid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'2.3'!$K$14:$K$19</c:f>
              <c:strCache>
                <c:ptCount val="6"/>
                <c:pt idx="0">
                  <c:v>Aumento di più del 10%</c:v>
                </c:pt>
                <c:pt idx="1">
                  <c:v>Aumento tra 3 e 10%</c:v>
                </c:pt>
                <c:pt idx="2">
                  <c:v>Stabile (+/- 3%)</c:v>
                </c:pt>
                <c:pt idx="3">
                  <c:v>Diminuzione tra 3 e 10%</c:v>
                </c:pt>
                <c:pt idx="4">
                  <c:v>Diminuzione di più del 10%</c:v>
                </c:pt>
                <c:pt idx="5">
                  <c:v>n.r.</c:v>
                </c:pt>
              </c:strCache>
            </c:strRef>
          </c:cat>
          <c:val>
            <c:numRef>
              <c:f>'2.3'!$N$14:$N$19</c:f>
              <c:numCache>
                <c:formatCode>0.0</c:formatCode>
                <c:ptCount val="6"/>
                <c:pt idx="0">
                  <c:v>9.1751435802808778</c:v>
                </c:pt>
                <c:pt idx="1">
                  <c:v>26.153432231387647</c:v>
                </c:pt>
                <c:pt idx="2">
                  <c:v>53.926329750152846</c:v>
                </c:pt>
                <c:pt idx="3">
                  <c:v>5.0623372386683352</c:v>
                </c:pt>
                <c:pt idx="4">
                  <c:v>3.6258494674340267</c:v>
                </c:pt>
                <c:pt idx="5">
                  <c:v>2.0569077320762661</c:v>
                </c:pt>
              </c:numCache>
            </c:numRef>
          </c:val>
          <c:extLst>
            <c:ext xmlns:c16="http://schemas.microsoft.com/office/drawing/2014/chart" uri="{C3380CC4-5D6E-409C-BE32-E72D297353CC}">
              <c16:uniqueId val="{00000002-7CC5-4F8B-A8E9-15B5DB0D2A50}"/>
            </c:ext>
          </c:extLst>
        </c:ser>
        <c:dLbls>
          <c:showLegendKey val="0"/>
          <c:showVal val="0"/>
          <c:showCatName val="0"/>
          <c:showSerName val="0"/>
          <c:showPercent val="0"/>
          <c:showBubbleSize val="0"/>
        </c:dLbls>
        <c:gapWidth val="182"/>
        <c:axId val="1110251679"/>
        <c:axId val="1110252159"/>
      </c:barChart>
      <c:catAx>
        <c:axId val="1110251679"/>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110252159"/>
        <c:crosses val="autoZero"/>
        <c:auto val="1"/>
        <c:lblAlgn val="ctr"/>
        <c:lblOffset val="100"/>
        <c:noMultiLvlLbl val="0"/>
      </c:catAx>
      <c:valAx>
        <c:axId val="1110252159"/>
        <c:scaling>
          <c:orientation val="minMax"/>
        </c:scaling>
        <c:delete val="0"/>
        <c:axPos val="t"/>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1102516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noFill/>
      <a:round/>
    </a:ln>
    <a:effectLst/>
  </c:spPr>
  <c:txPr>
    <a:bodyPr/>
    <a:lstStyle/>
    <a:p>
      <a:pPr>
        <a:defRPr/>
      </a:pPr>
      <a:endParaRPr lang="it-I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tx>
            <c:strRef>
              <c:f>Foglio1!$B$1</c:f>
              <c:strCache>
                <c:ptCount val="1"/>
                <c:pt idx="0">
                  <c:v>Meno di 50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Foglio1!$A$2:$A$7</c:f>
              <c:strCache>
                <c:ptCount val="6"/>
                <c:pt idx="0">
                  <c:v>Aumento di più del 10%</c:v>
                </c:pt>
                <c:pt idx="1">
                  <c:v>Aumento tra 3 e 10%</c:v>
                </c:pt>
                <c:pt idx="2">
                  <c:v>Stabile (+/- 3%)</c:v>
                </c:pt>
                <c:pt idx="3">
                  <c:v>Diminuzione tra 3 e 10%</c:v>
                </c:pt>
                <c:pt idx="4">
                  <c:v>Diminuzione di più del 10%</c:v>
                </c:pt>
                <c:pt idx="5">
                  <c:v>n.r.</c:v>
                </c:pt>
              </c:strCache>
            </c:strRef>
          </c:cat>
          <c:val>
            <c:numRef>
              <c:f>Foglio1!$B$2:$B$7</c:f>
              <c:numCache>
                <c:formatCode>0.0</c:formatCode>
                <c:ptCount val="6"/>
                <c:pt idx="0">
                  <c:v>8.7613123070112433</c:v>
                </c:pt>
                <c:pt idx="1">
                  <c:v>23.710932750601156</c:v>
                </c:pt>
                <c:pt idx="2">
                  <c:v>56.83891242639708</c:v>
                </c:pt>
                <c:pt idx="3">
                  <c:v>4.9816188557502743</c:v>
                </c:pt>
                <c:pt idx="4">
                  <c:v>3.4314403861653595</c:v>
                </c:pt>
                <c:pt idx="5">
                  <c:v>2.2757832740748642</c:v>
                </c:pt>
              </c:numCache>
            </c:numRef>
          </c:val>
          <c:extLst>
            <c:ext xmlns:c16="http://schemas.microsoft.com/office/drawing/2014/chart" uri="{C3380CC4-5D6E-409C-BE32-E72D297353CC}">
              <c16:uniqueId val="{00000000-0253-4735-9E4E-E7114A0B4771}"/>
            </c:ext>
          </c:extLst>
        </c:ser>
        <c:ser>
          <c:idx val="2"/>
          <c:order val="1"/>
          <c:tx>
            <c:strRef>
              <c:f>Foglio1!$C$1</c:f>
              <c:strCache>
                <c:ptCount val="1"/>
                <c:pt idx="0">
                  <c:v>50 e più</c:v>
                </c:pt>
              </c:strCache>
            </c:strRef>
          </c:tx>
          <c:spPr>
            <a:solidFill>
              <a:schemeClr val="accent5">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Foglio1!$A$2:$A$7</c:f>
              <c:strCache>
                <c:ptCount val="6"/>
                <c:pt idx="0">
                  <c:v>Aumento di più del 10%</c:v>
                </c:pt>
                <c:pt idx="1">
                  <c:v>Aumento tra 3 e 10%</c:v>
                </c:pt>
                <c:pt idx="2">
                  <c:v>Stabile (+/- 3%)</c:v>
                </c:pt>
                <c:pt idx="3">
                  <c:v>Diminuzione tra 3 e 10%</c:v>
                </c:pt>
                <c:pt idx="4">
                  <c:v>Diminuzione di più del 10%</c:v>
                </c:pt>
                <c:pt idx="5">
                  <c:v>n.r.</c:v>
                </c:pt>
              </c:strCache>
            </c:strRef>
          </c:cat>
          <c:val>
            <c:numRef>
              <c:f>Foglio1!$C$2:$C$7</c:f>
              <c:numCache>
                <c:formatCode>0.0</c:formatCode>
                <c:ptCount val="6"/>
                <c:pt idx="0">
                  <c:v>9.9080169688346498</c:v>
                </c:pt>
                <c:pt idx="1">
                  <c:v>30.47897016592286</c:v>
                </c:pt>
                <c:pt idx="2">
                  <c:v>48.768299235645671</c:v>
                </c:pt>
                <c:pt idx="3">
                  <c:v>5.2052852433958545</c:v>
                </c:pt>
                <c:pt idx="4">
                  <c:v>3.9701377108751186</c:v>
                </c:pt>
                <c:pt idx="5">
                  <c:v>1.6692906753258518</c:v>
                </c:pt>
              </c:numCache>
            </c:numRef>
          </c:val>
          <c:extLst>
            <c:ext xmlns:c16="http://schemas.microsoft.com/office/drawing/2014/chart" uri="{C3380CC4-5D6E-409C-BE32-E72D297353CC}">
              <c16:uniqueId val="{00000001-0253-4735-9E4E-E7114A0B4771}"/>
            </c:ext>
          </c:extLst>
        </c:ser>
        <c:ser>
          <c:idx val="0"/>
          <c:order val="2"/>
          <c:tx>
            <c:strRef>
              <c:f>Foglio1!$D$1</c:f>
              <c:strCache>
                <c:ptCount val="1"/>
                <c:pt idx="0">
                  <c:v>Totale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Foglio1!$A$2:$A$7</c:f>
              <c:strCache>
                <c:ptCount val="6"/>
                <c:pt idx="0">
                  <c:v>Aumento di più del 10%</c:v>
                </c:pt>
                <c:pt idx="1">
                  <c:v>Aumento tra 3 e 10%</c:v>
                </c:pt>
                <c:pt idx="2">
                  <c:v>Stabile (+/- 3%)</c:v>
                </c:pt>
                <c:pt idx="3">
                  <c:v>Diminuzione tra 3 e 10%</c:v>
                </c:pt>
                <c:pt idx="4">
                  <c:v>Diminuzione di più del 10%</c:v>
                </c:pt>
                <c:pt idx="5">
                  <c:v>n.r.</c:v>
                </c:pt>
              </c:strCache>
            </c:strRef>
          </c:cat>
          <c:val>
            <c:numRef>
              <c:f>Foglio1!$D$2:$D$7</c:f>
              <c:numCache>
                <c:formatCode>0.0</c:formatCode>
                <c:ptCount val="6"/>
                <c:pt idx="0">
                  <c:v>9.1751435802808814</c:v>
                </c:pt>
                <c:pt idx="1">
                  <c:v>26.153432231387661</c:v>
                </c:pt>
                <c:pt idx="2">
                  <c:v>53.926329750152824</c:v>
                </c:pt>
                <c:pt idx="3">
                  <c:v>5.0623372386683396</c:v>
                </c:pt>
                <c:pt idx="4">
                  <c:v>3.6258494674340289</c:v>
                </c:pt>
                <c:pt idx="5">
                  <c:v>2.0569077320762674</c:v>
                </c:pt>
              </c:numCache>
            </c:numRef>
          </c:val>
          <c:extLst>
            <c:ext xmlns:c16="http://schemas.microsoft.com/office/drawing/2014/chart" uri="{C3380CC4-5D6E-409C-BE32-E72D297353CC}">
              <c16:uniqueId val="{00000002-0253-4735-9E4E-E7114A0B4771}"/>
            </c:ext>
          </c:extLst>
        </c:ser>
        <c:dLbls>
          <c:showLegendKey val="0"/>
          <c:showVal val="0"/>
          <c:showCatName val="0"/>
          <c:showSerName val="0"/>
          <c:showPercent val="0"/>
          <c:showBubbleSize val="0"/>
        </c:dLbls>
        <c:gapWidth val="182"/>
        <c:axId val="1110251679"/>
        <c:axId val="1110252159"/>
      </c:barChart>
      <c:catAx>
        <c:axId val="1110251679"/>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110252159"/>
        <c:crosses val="autoZero"/>
        <c:auto val="1"/>
        <c:lblAlgn val="ctr"/>
        <c:lblOffset val="100"/>
        <c:noMultiLvlLbl val="0"/>
      </c:catAx>
      <c:valAx>
        <c:axId val="1110252159"/>
        <c:scaling>
          <c:orientation val="minMax"/>
        </c:scaling>
        <c:delete val="0"/>
        <c:axPos val="t"/>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1102516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noFill/>
      <a:round/>
    </a:ln>
    <a:effectLst/>
  </c:spPr>
  <c:txPr>
    <a:bodyPr/>
    <a:lstStyle/>
    <a:p>
      <a:pPr>
        <a:defRPr/>
      </a:pPr>
      <a:endParaRPr lang="it-I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1"/>
          <c:order val="0"/>
          <c:tx>
            <c:strRef>
              <c:f>Foglio1!$B$4</c:f>
              <c:strCache>
                <c:ptCount val="1"/>
                <c:pt idx="0">
                  <c:v>Aumento di più del 10%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Foglio1!$C$3:$G$3</c:f>
              <c:strCache>
                <c:ptCount val="5"/>
                <c:pt idx="0">
                  <c:v>Non esportatori</c:v>
                </c:pt>
                <c:pt idx="1">
                  <c:v>Bassa intensità di export</c:v>
                </c:pt>
                <c:pt idx="2">
                  <c:v>Media intensità di export</c:v>
                </c:pt>
                <c:pt idx="3">
                  <c:v>Alta intensità di export</c:v>
                </c:pt>
                <c:pt idx="4">
                  <c:v>Totale </c:v>
                </c:pt>
              </c:strCache>
            </c:strRef>
          </c:cat>
          <c:val>
            <c:numRef>
              <c:f>Foglio1!$C$4:$G$4</c:f>
              <c:numCache>
                <c:formatCode>0.0</c:formatCode>
                <c:ptCount val="5"/>
                <c:pt idx="0">
                  <c:v>4.888219870282752</c:v>
                </c:pt>
                <c:pt idx="1">
                  <c:v>8.124786598407173</c:v>
                </c:pt>
                <c:pt idx="2">
                  <c:v>11.658267702278689</c:v>
                </c:pt>
                <c:pt idx="3">
                  <c:v>8.9747900913836816</c:v>
                </c:pt>
                <c:pt idx="4">
                  <c:v>9.1751435802808778</c:v>
                </c:pt>
              </c:numCache>
            </c:numRef>
          </c:val>
          <c:extLst>
            <c:ext xmlns:c16="http://schemas.microsoft.com/office/drawing/2014/chart" uri="{C3380CC4-5D6E-409C-BE32-E72D297353CC}">
              <c16:uniqueId val="{00000000-E611-4C3B-AD07-74A0DAF844B0}"/>
            </c:ext>
          </c:extLst>
        </c:ser>
        <c:ser>
          <c:idx val="2"/>
          <c:order val="1"/>
          <c:tx>
            <c:strRef>
              <c:f>Foglio1!$B$5</c:f>
              <c:strCache>
                <c:ptCount val="1"/>
                <c:pt idx="0">
                  <c:v>Aumento tra 3 e 10%</c:v>
                </c:pt>
              </c:strCache>
            </c:strRef>
          </c:tx>
          <c:spPr>
            <a:solidFill>
              <a:schemeClr val="accent3"/>
            </a:solidFill>
            <a:ln>
              <a:noFill/>
            </a:ln>
            <a:effectLst/>
          </c:spPr>
          <c:invertIfNegative val="0"/>
          <c:cat>
            <c:strRef>
              <c:f>Foglio1!$C$3:$G$3</c:f>
              <c:strCache>
                <c:ptCount val="5"/>
                <c:pt idx="0">
                  <c:v>Non esportatori</c:v>
                </c:pt>
                <c:pt idx="1">
                  <c:v>Bassa intensità di export</c:v>
                </c:pt>
                <c:pt idx="2">
                  <c:v>Media intensità di export</c:v>
                </c:pt>
                <c:pt idx="3">
                  <c:v>Alta intensità di export</c:v>
                </c:pt>
                <c:pt idx="4">
                  <c:v>Totale </c:v>
                </c:pt>
              </c:strCache>
            </c:strRef>
          </c:cat>
          <c:val>
            <c:numRef>
              <c:f>Foglio1!$C$5:$G$5</c:f>
              <c:numCache>
                <c:formatCode>0.0</c:formatCode>
                <c:ptCount val="5"/>
                <c:pt idx="0">
                  <c:v>9.2417739771302116</c:v>
                </c:pt>
                <c:pt idx="1">
                  <c:v>20.854152411365074</c:v>
                </c:pt>
                <c:pt idx="2">
                  <c:v>29.357747900919918</c:v>
                </c:pt>
                <c:pt idx="3">
                  <c:v>32.594849148977026</c:v>
                </c:pt>
                <c:pt idx="4">
                  <c:v>26.153432231387626</c:v>
                </c:pt>
              </c:numCache>
            </c:numRef>
          </c:val>
          <c:extLst>
            <c:ext xmlns:c16="http://schemas.microsoft.com/office/drawing/2014/chart" uri="{C3380CC4-5D6E-409C-BE32-E72D297353CC}">
              <c16:uniqueId val="{00000001-E611-4C3B-AD07-74A0DAF844B0}"/>
            </c:ext>
          </c:extLst>
        </c:ser>
        <c:ser>
          <c:idx val="0"/>
          <c:order val="2"/>
          <c:tx>
            <c:strRef>
              <c:f>Foglio1!$B$6</c:f>
              <c:strCache>
                <c:ptCount val="1"/>
                <c:pt idx="0">
                  <c:v>Stabile (+/- 3%)</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Foglio1!$C$3:$G$3</c:f>
              <c:strCache>
                <c:ptCount val="5"/>
                <c:pt idx="0">
                  <c:v>Non esportatori</c:v>
                </c:pt>
                <c:pt idx="1">
                  <c:v>Bassa intensità di export</c:v>
                </c:pt>
                <c:pt idx="2">
                  <c:v>Media intensità di export</c:v>
                </c:pt>
                <c:pt idx="3">
                  <c:v>Alta intensità di export</c:v>
                </c:pt>
                <c:pt idx="4">
                  <c:v>Totale </c:v>
                </c:pt>
              </c:strCache>
            </c:strRef>
          </c:cat>
          <c:val>
            <c:numRef>
              <c:f>Foglio1!$C$6:$G$6</c:f>
              <c:numCache>
                <c:formatCode>0.0</c:formatCode>
                <c:ptCount val="5"/>
                <c:pt idx="0">
                  <c:v>64.356634071021375</c:v>
                </c:pt>
                <c:pt idx="1">
                  <c:v>64.20132781739143</c:v>
                </c:pt>
                <c:pt idx="2">
                  <c:v>49.168272477889339</c:v>
                </c:pt>
                <c:pt idx="3">
                  <c:v>45.795315920763805</c:v>
                </c:pt>
                <c:pt idx="4">
                  <c:v>53.926329750152867</c:v>
                </c:pt>
              </c:numCache>
            </c:numRef>
          </c:val>
          <c:extLst>
            <c:ext xmlns:c16="http://schemas.microsoft.com/office/drawing/2014/chart" uri="{C3380CC4-5D6E-409C-BE32-E72D297353CC}">
              <c16:uniqueId val="{00000002-E611-4C3B-AD07-74A0DAF844B0}"/>
            </c:ext>
          </c:extLst>
        </c:ser>
        <c:ser>
          <c:idx val="3"/>
          <c:order val="3"/>
          <c:tx>
            <c:strRef>
              <c:f>Foglio1!$B$7</c:f>
              <c:strCache>
                <c:ptCount val="1"/>
                <c:pt idx="0">
                  <c:v>Diminuzione tra 3 e 10%</c:v>
                </c:pt>
              </c:strCache>
            </c:strRef>
          </c:tx>
          <c:spPr>
            <a:solidFill>
              <a:schemeClr val="accent4"/>
            </a:solidFill>
            <a:ln>
              <a:noFill/>
            </a:ln>
            <a:effectLst/>
          </c:spPr>
          <c:invertIfNegative val="0"/>
          <c:cat>
            <c:strRef>
              <c:f>Foglio1!$C$3:$G$3</c:f>
              <c:strCache>
                <c:ptCount val="5"/>
                <c:pt idx="0">
                  <c:v>Non esportatori</c:v>
                </c:pt>
                <c:pt idx="1">
                  <c:v>Bassa intensità di export</c:v>
                </c:pt>
                <c:pt idx="2">
                  <c:v>Media intensità di export</c:v>
                </c:pt>
                <c:pt idx="3">
                  <c:v>Alta intensità di export</c:v>
                </c:pt>
                <c:pt idx="4">
                  <c:v>Totale </c:v>
                </c:pt>
              </c:strCache>
            </c:strRef>
          </c:cat>
          <c:val>
            <c:numRef>
              <c:f>Foglio1!$C$7:$G$7</c:f>
              <c:numCache>
                <c:formatCode>0.0</c:formatCode>
                <c:ptCount val="5"/>
                <c:pt idx="0">
                  <c:v>0</c:v>
                </c:pt>
                <c:pt idx="1">
                  <c:v>3.7710421725574346</c:v>
                </c:pt>
                <c:pt idx="2">
                  <c:v>4.7127764083448929</c:v>
                </c:pt>
                <c:pt idx="3">
                  <c:v>7.9218196965894423</c:v>
                </c:pt>
                <c:pt idx="4">
                  <c:v>5.0623372386683343</c:v>
                </c:pt>
              </c:numCache>
            </c:numRef>
          </c:val>
          <c:extLst>
            <c:ext xmlns:c16="http://schemas.microsoft.com/office/drawing/2014/chart" uri="{C3380CC4-5D6E-409C-BE32-E72D297353CC}">
              <c16:uniqueId val="{00000003-E611-4C3B-AD07-74A0DAF844B0}"/>
            </c:ext>
          </c:extLst>
        </c:ser>
        <c:ser>
          <c:idx val="4"/>
          <c:order val="4"/>
          <c:tx>
            <c:strRef>
              <c:f>Foglio1!$B$8</c:f>
              <c:strCache>
                <c:ptCount val="1"/>
                <c:pt idx="0">
                  <c:v>Diminuzione di più del 10%</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Foglio1!$C$3:$G$3</c:f>
              <c:strCache>
                <c:ptCount val="5"/>
                <c:pt idx="0">
                  <c:v>Non esportatori</c:v>
                </c:pt>
                <c:pt idx="1">
                  <c:v>Bassa intensità di export</c:v>
                </c:pt>
                <c:pt idx="2">
                  <c:v>Media intensità di export</c:v>
                </c:pt>
                <c:pt idx="3">
                  <c:v>Alta intensità di export</c:v>
                </c:pt>
                <c:pt idx="4">
                  <c:v>Totale </c:v>
                </c:pt>
              </c:strCache>
            </c:strRef>
          </c:cat>
          <c:val>
            <c:numRef>
              <c:f>Foglio1!$C$8:$G$8</c:f>
              <c:numCache>
                <c:formatCode>0.0</c:formatCode>
                <c:ptCount val="5"/>
                <c:pt idx="0">
                  <c:v>3.4045010869614187</c:v>
                </c:pt>
                <c:pt idx="1">
                  <c:v>2.1451558102463633</c:v>
                </c:pt>
                <c:pt idx="2">
                  <c:v>4.576412015341857</c:v>
                </c:pt>
                <c:pt idx="3">
                  <c:v>4.2243676958554088</c:v>
                </c:pt>
                <c:pt idx="4">
                  <c:v>3.6258494674340254</c:v>
                </c:pt>
              </c:numCache>
            </c:numRef>
          </c:val>
          <c:extLst>
            <c:ext xmlns:c16="http://schemas.microsoft.com/office/drawing/2014/chart" uri="{C3380CC4-5D6E-409C-BE32-E72D297353CC}">
              <c16:uniqueId val="{00000004-E611-4C3B-AD07-74A0DAF844B0}"/>
            </c:ext>
          </c:extLst>
        </c:ser>
        <c:ser>
          <c:idx val="5"/>
          <c:order val="5"/>
          <c:tx>
            <c:strRef>
              <c:f>Foglio1!$B$9</c:f>
              <c:strCache>
                <c:ptCount val="1"/>
                <c:pt idx="0">
                  <c:v>n.r.</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Foglio1!$C$3:$G$3</c:f>
              <c:strCache>
                <c:ptCount val="5"/>
                <c:pt idx="0">
                  <c:v>Non esportatori</c:v>
                </c:pt>
                <c:pt idx="1">
                  <c:v>Bassa intensità di export</c:v>
                </c:pt>
                <c:pt idx="2">
                  <c:v>Media intensità di export</c:v>
                </c:pt>
                <c:pt idx="3">
                  <c:v>Alta intensità di export</c:v>
                </c:pt>
                <c:pt idx="4">
                  <c:v>Totale </c:v>
                </c:pt>
              </c:strCache>
            </c:strRef>
          </c:cat>
          <c:val>
            <c:numRef>
              <c:f>Foglio1!$C$9:$G$9</c:f>
              <c:numCache>
                <c:formatCode>0.0</c:formatCode>
                <c:ptCount val="5"/>
                <c:pt idx="0">
                  <c:v>18.10887099460426</c:v>
                </c:pt>
                <c:pt idx="1">
                  <c:v>0.90353519003253369</c:v>
                </c:pt>
                <c:pt idx="2">
                  <c:v>0.52652349522529052</c:v>
                </c:pt>
                <c:pt idx="3">
                  <c:v>0.48885744643064394</c:v>
                </c:pt>
                <c:pt idx="4">
                  <c:v>2.0569077320762661</c:v>
                </c:pt>
              </c:numCache>
            </c:numRef>
          </c:val>
          <c:extLst xmlns:c15="http://schemas.microsoft.com/office/drawing/2012/chart">
            <c:ext xmlns:c16="http://schemas.microsoft.com/office/drawing/2014/chart" uri="{C3380CC4-5D6E-409C-BE32-E72D297353CC}">
              <c16:uniqueId val="{00000005-E611-4C3B-AD07-74A0DAF844B0}"/>
            </c:ext>
          </c:extLst>
        </c:ser>
        <c:dLbls>
          <c:showLegendKey val="0"/>
          <c:showVal val="0"/>
          <c:showCatName val="0"/>
          <c:showSerName val="0"/>
          <c:showPercent val="0"/>
          <c:showBubbleSize val="0"/>
        </c:dLbls>
        <c:gapWidth val="182"/>
        <c:axId val="1110251679"/>
        <c:axId val="1110252159"/>
        <c:extLst/>
      </c:barChart>
      <c:catAx>
        <c:axId val="1110251679"/>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110252159"/>
        <c:crosses val="autoZero"/>
        <c:auto val="1"/>
        <c:lblAlgn val="ctr"/>
        <c:lblOffset val="100"/>
        <c:noMultiLvlLbl val="0"/>
      </c:catAx>
      <c:valAx>
        <c:axId val="1110252159"/>
        <c:scaling>
          <c:orientation val="minMax"/>
        </c:scaling>
        <c:delete val="0"/>
        <c:axPos val="t"/>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1102516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'2,4'!$K$6:$K$13</c:f>
              <c:strCache>
                <c:ptCount val="8"/>
                <c:pt idx="0">
                  <c:v>USA</c:v>
                </c:pt>
                <c:pt idx="1">
                  <c:v>Cina</c:v>
                </c:pt>
                <c:pt idx="2">
                  <c:v>Sud America</c:v>
                </c:pt>
                <c:pt idx="3">
                  <c:v>Francia</c:v>
                </c:pt>
                <c:pt idx="4">
                  <c:v>India</c:v>
                </c:pt>
                <c:pt idx="5">
                  <c:v>Australia</c:v>
                </c:pt>
                <c:pt idx="6">
                  <c:v>Germania</c:v>
                </c:pt>
                <c:pt idx="7">
                  <c:v>Regno Unito</c:v>
                </c:pt>
              </c:strCache>
            </c:strRef>
          </c:cat>
          <c:val>
            <c:numRef>
              <c:f>'2,4'!$L$6:$L$13</c:f>
              <c:numCache>
                <c:formatCode>0.0</c:formatCode>
                <c:ptCount val="8"/>
                <c:pt idx="0">
                  <c:v>21.739475873990699</c:v>
                </c:pt>
                <c:pt idx="1">
                  <c:v>8.9163364856662923</c:v>
                </c:pt>
                <c:pt idx="2">
                  <c:v>6.4209246607313668</c:v>
                </c:pt>
                <c:pt idx="3">
                  <c:v>6.4102564102564097</c:v>
                </c:pt>
                <c:pt idx="4">
                  <c:v>5.4367102283019015</c:v>
                </c:pt>
                <c:pt idx="5">
                  <c:v>4.2964004536399152</c:v>
                </c:pt>
                <c:pt idx="6">
                  <c:v>3.8969444461955187</c:v>
                </c:pt>
                <c:pt idx="7">
                  <c:v>3.2827698798579283</c:v>
                </c:pt>
              </c:numCache>
            </c:numRef>
          </c:val>
          <c:extLst>
            <c:ext xmlns:c16="http://schemas.microsoft.com/office/drawing/2014/chart" uri="{C3380CC4-5D6E-409C-BE32-E72D297353CC}">
              <c16:uniqueId val="{00000000-B857-4F6E-AC8D-59C659C4B1C5}"/>
            </c:ext>
          </c:extLst>
        </c:ser>
        <c:dLbls>
          <c:showLegendKey val="0"/>
          <c:showVal val="0"/>
          <c:showCatName val="0"/>
          <c:showSerName val="0"/>
          <c:showPercent val="0"/>
          <c:showBubbleSize val="0"/>
        </c:dLbls>
        <c:gapWidth val="182"/>
        <c:axId val="1594105216"/>
        <c:axId val="1594103776"/>
      </c:barChart>
      <c:catAx>
        <c:axId val="159410521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94103776"/>
        <c:crosses val="autoZero"/>
        <c:auto val="1"/>
        <c:lblAlgn val="ctr"/>
        <c:lblOffset val="100"/>
        <c:noMultiLvlLbl val="0"/>
      </c:catAx>
      <c:valAx>
        <c:axId val="1594103776"/>
        <c:scaling>
          <c:orientation val="minMax"/>
        </c:scaling>
        <c:delete val="0"/>
        <c:axPos val="t"/>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5941052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it-IT"/>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'2.6'!$B$12</c:f>
              <c:strCache>
                <c:ptCount val="1"/>
                <c:pt idx="0">
                  <c:v>Oggi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'2.6'!$A$13:$A$17</c:f>
              <c:strCache>
                <c:ptCount val="5"/>
                <c:pt idx="0">
                  <c:v>Tensioni politiche a livello internazionale</c:v>
                </c:pt>
                <c:pt idx="1">
                  <c:v>Rischi legati ai trasporti (costi/incertezza)</c:v>
                </c:pt>
                <c:pt idx="2">
                  <c:v>Protezionismo/rischi legati all’ambito legale/regolatorio</c:v>
                </c:pt>
                <c:pt idx="3">
                  <c:v>Rischi legati all’ambito ESG (reputazione)</c:v>
                </c:pt>
                <c:pt idx="4">
                  <c:v>Altri possibili elementi </c:v>
                </c:pt>
              </c:strCache>
            </c:strRef>
          </c:cat>
          <c:val>
            <c:numRef>
              <c:f>'2.6'!$B$13:$B$17</c:f>
              <c:numCache>
                <c:formatCode>0.0</c:formatCode>
                <c:ptCount val="5"/>
                <c:pt idx="0">
                  <c:v>64.778979012404491</c:v>
                </c:pt>
                <c:pt idx="1">
                  <c:v>31.463650353259776</c:v>
                </c:pt>
                <c:pt idx="2">
                  <c:v>19.838581120215434</c:v>
                </c:pt>
                <c:pt idx="3">
                  <c:v>4.3013937894858074</c:v>
                </c:pt>
                <c:pt idx="4">
                  <c:v>7.5593952483801292</c:v>
                </c:pt>
              </c:numCache>
            </c:numRef>
          </c:val>
          <c:extLst>
            <c:ext xmlns:c16="http://schemas.microsoft.com/office/drawing/2014/chart" uri="{C3380CC4-5D6E-409C-BE32-E72D297353CC}">
              <c16:uniqueId val="{00000000-FB2C-4396-8541-E94345F9C631}"/>
            </c:ext>
          </c:extLst>
        </c:ser>
        <c:ser>
          <c:idx val="1"/>
          <c:order val="1"/>
          <c:tx>
            <c:strRef>
              <c:f>'2.6'!$C$12</c:f>
              <c:strCache>
                <c:ptCount val="1"/>
                <c:pt idx="0">
                  <c:v>In futuro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'2.6'!$A$13:$A$17</c:f>
              <c:strCache>
                <c:ptCount val="5"/>
                <c:pt idx="0">
                  <c:v>Tensioni politiche a livello internazionale</c:v>
                </c:pt>
                <c:pt idx="1">
                  <c:v>Rischi legati ai trasporti (costi/incertezza)</c:v>
                </c:pt>
                <c:pt idx="2">
                  <c:v>Protezionismo/rischi legati all’ambito legale/regolatorio</c:v>
                </c:pt>
                <c:pt idx="3">
                  <c:v>Rischi legati all’ambito ESG (reputazione)</c:v>
                </c:pt>
                <c:pt idx="4">
                  <c:v>Altri possibili elementi </c:v>
                </c:pt>
              </c:strCache>
            </c:strRef>
          </c:cat>
          <c:val>
            <c:numRef>
              <c:f>'2.6'!$C$13:$C$17</c:f>
              <c:numCache>
                <c:formatCode>0.0</c:formatCode>
                <c:ptCount val="5"/>
                <c:pt idx="0">
                  <c:v>52.846133888081326</c:v>
                </c:pt>
                <c:pt idx="1">
                  <c:v>32.191747742529834</c:v>
                </c:pt>
                <c:pt idx="2">
                  <c:v>43.196544276457885</c:v>
                </c:pt>
                <c:pt idx="3">
                  <c:v>12.775456039625855</c:v>
                </c:pt>
                <c:pt idx="4">
                  <c:v>7.3434125269978408</c:v>
                </c:pt>
              </c:numCache>
            </c:numRef>
          </c:val>
          <c:extLst>
            <c:ext xmlns:c16="http://schemas.microsoft.com/office/drawing/2014/chart" uri="{C3380CC4-5D6E-409C-BE32-E72D297353CC}">
              <c16:uniqueId val="{00000001-FB2C-4396-8541-E94345F9C631}"/>
            </c:ext>
          </c:extLst>
        </c:ser>
        <c:dLbls>
          <c:showLegendKey val="0"/>
          <c:showVal val="0"/>
          <c:showCatName val="0"/>
          <c:showSerName val="0"/>
          <c:showPercent val="0"/>
          <c:showBubbleSize val="0"/>
        </c:dLbls>
        <c:gapWidth val="182"/>
        <c:axId val="1240456271"/>
        <c:axId val="1240455311"/>
      </c:barChart>
      <c:catAx>
        <c:axId val="1240456271"/>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240455311"/>
        <c:crosses val="autoZero"/>
        <c:auto val="1"/>
        <c:lblAlgn val="ctr"/>
        <c:lblOffset val="100"/>
        <c:noMultiLvlLbl val="0"/>
      </c:catAx>
      <c:valAx>
        <c:axId val="1240455311"/>
        <c:scaling>
          <c:orientation val="minMax"/>
        </c:scaling>
        <c:delete val="0"/>
        <c:axPos val="t"/>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240456271"/>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noFill/>
      <a:round/>
    </a:ln>
    <a:effectLst/>
  </c:spPr>
  <c:txPr>
    <a:bodyPr/>
    <a:lstStyle/>
    <a:p>
      <a:pPr>
        <a:defRPr/>
      </a:pPr>
      <a:endParaRPr lang="it-IT"/>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8762644083745E-2"/>
          <c:y val="4.1587901701323253E-2"/>
          <c:w val="0.94824747118325103"/>
          <c:h val="0.47412649033237575"/>
        </c:manualLayout>
      </c:layout>
      <c:barChart>
        <c:barDir val="col"/>
        <c:grouping val="clustered"/>
        <c:varyColors val="0"/>
        <c:ser>
          <c:idx val="2"/>
          <c:order val="0"/>
          <c:spPr>
            <a:solidFill>
              <a:schemeClr val="accent3"/>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F55D-4C33-9A17-A18898FD711D}"/>
              </c:ext>
            </c:extLst>
          </c:dPt>
          <c:dPt>
            <c:idx val="1"/>
            <c:invertIfNegative val="0"/>
            <c:bubble3D val="0"/>
            <c:spPr>
              <a:solidFill>
                <a:srgbClr val="FF0000"/>
              </a:solidFill>
              <a:ln>
                <a:noFill/>
              </a:ln>
              <a:effectLst/>
            </c:spPr>
            <c:extLst>
              <c:ext xmlns:c16="http://schemas.microsoft.com/office/drawing/2014/chart" uri="{C3380CC4-5D6E-409C-BE32-E72D297353CC}">
                <c16:uniqueId val="{00000003-F55D-4C33-9A17-A18898FD711D}"/>
              </c:ext>
            </c:extLst>
          </c:dPt>
          <c:dPt>
            <c:idx val="2"/>
            <c:invertIfNegative val="0"/>
            <c:bubble3D val="0"/>
            <c:spPr>
              <a:solidFill>
                <a:srgbClr val="FFFF00"/>
              </a:solidFill>
              <a:ln>
                <a:noFill/>
              </a:ln>
              <a:effectLst/>
            </c:spPr>
            <c:extLst>
              <c:ext xmlns:c16="http://schemas.microsoft.com/office/drawing/2014/chart" uri="{C3380CC4-5D6E-409C-BE32-E72D297353CC}">
                <c16:uniqueId val="{00000009-F55D-4C33-9A17-A18898FD711D}"/>
              </c:ext>
            </c:extLst>
          </c:dPt>
          <c:dPt>
            <c:idx val="3"/>
            <c:invertIfNegative val="0"/>
            <c:bubble3D val="0"/>
            <c:spPr>
              <a:solidFill>
                <a:srgbClr val="FFFF00"/>
              </a:solidFill>
              <a:ln>
                <a:noFill/>
              </a:ln>
              <a:effectLst/>
            </c:spPr>
            <c:extLst>
              <c:ext xmlns:c16="http://schemas.microsoft.com/office/drawing/2014/chart" uri="{C3380CC4-5D6E-409C-BE32-E72D297353CC}">
                <c16:uniqueId val="{00000005-F55D-4C33-9A17-A18898FD711D}"/>
              </c:ext>
            </c:extLst>
          </c:dPt>
          <c:dPt>
            <c:idx val="4"/>
            <c:invertIfNegative val="0"/>
            <c:bubble3D val="0"/>
            <c:spPr>
              <a:solidFill>
                <a:srgbClr val="FFFF00"/>
              </a:solidFill>
              <a:ln>
                <a:noFill/>
              </a:ln>
              <a:effectLst/>
            </c:spPr>
            <c:extLst>
              <c:ext xmlns:c16="http://schemas.microsoft.com/office/drawing/2014/chart" uri="{C3380CC4-5D6E-409C-BE32-E72D297353CC}">
                <c16:uniqueId val="{0000000A-F55D-4C33-9A17-A18898FD711D}"/>
              </c:ext>
            </c:extLst>
          </c:dPt>
          <c:dPt>
            <c:idx val="5"/>
            <c:invertIfNegative val="0"/>
            <c:bubble3D val="0"/>
            <c:spPr>
              <a:solidFill>
                <a:srgbClr val="00B050"/>
              </a:solidFill>
              <a:ln>
                <a:noFill/>
              </a:ln>
              <a:effectLst/>
            </c:spPr>
            <c:extLst>
              <c:ext xmlns:c16="http://schemas.microsoft.com/office/drawing/2014/chart" uri="{C3380CC4-5D6E-409C-BE32-E72D297353CC}">
                <c16:uniqueId val="{00000007-F55D-4C33-9A17-A18898FD711D}"/>
              </c:ext>
            </c:extLst>
          </c:dPt>
          <c:dLbls>
            <c:dLbl>
              <c:idx val="1"/>
              <c:layout>
                <c:manualLayout>
                  <c:x val="8.4685956245589319E-2"/>
                  <c:y val="3.7807183364839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55D-4C33-9A17-A18898FD711D}"/>
                </c:ext>
              </c:extLst>
            </c:dLbl>
            <c:dLbl>
              <c:idx val="5"/>
              <c:layout>
                <c:manualLayout>
                  <c:x val="-7.7628793225123505E-2"/>
                  <c:y val="1.134215500945179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55D-4C33-9A17-A18898FD711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'2.10'!$A$15:$A$20</c:f>
              <c:strCache>
                <c:ptCount val="6"/>
                <c:pt idx="0">
                  <c:v>Il Friendshoring sta già modificando le reti di fornitura internazionale</c:v>
                </c:pt>
                <c:pt idx="1">
                  <c:v>È un fenomeno marginale che non impatterà sostanzialmente sugli scambi internazionali</c:v>
                </c:pt>
                <c:pt idx="2">
                  <c:v>Impatterà più sugli investimenti diretti all’estero che sullo scambio di beni</c:v>
                </c:pt>
                <c:pt idx="3">
                  <c:v>Potrebbe aprire prospettive interessanti per le imprese italiane negli USA</c:v>
                </c:pt>
                <c:pt idx="4">
                  <c:v>È impossibile modificare le reti di fornitura nel breve periodo</c:v>
                </c:pt>
                <c:pt idx="5">
                  <c:v>Il Friendshoring è un’azione che riguarda in prevalenza la fornitura di beni considerati strategici</c:v>
                </c:pt>
              </c:strCache>
            </c:strRef>
          </c:cat>
          <c:val>
            <c:numRef>
              <c:f>'2.10'!$E$15:$E$20</c:f>
              <c:numCache>
                <c:formatCode>0.0</c:formatCode>
                <c:ptCount val="6"/>
                <c:pt idx="0">
                  <c:v>-11.978372257205317</c:v>
                </c:pt>
                <c:pt idx="1">
                  <c:v>-25.261847247715195</c:v>
                </c:pt>
                <c:pt idx="2">
                  <c:v>-1.3166768917524718</c:v>
                </c:pt>
                <c:pt idx="3">
                  <c:v>6.1202484618920083</c:v>
                </c:pt>
                <c:pt idx="4">
                  <c:v>-2.5243731494371673</c:v>
                </c:pt>
                <c:pt idx="5">
                  <c:v>10.981417870482183</c:v>
                </c:pt>
              </c:numCache>
            </c:numRef>
          </c:val>
          <c:extLst>
            <c:ext xmlns:c16="http://schemas.microsoft.com/office/drawing/2014/chart" uri="{C3380CC4-5D6E-409C-BE32-E72D297353CC}">
              <c16:uniqueId val="{00000008-F55D-4C33-9A17-A18898FD711D}"/>
            </c:ext>
          </c:extLst>
        </c:ser>
        <c:dLbls>
          <c:showLegendKey val="0"/>
          <c:showVal val="0"/>
          <c:showCatName val="0"/>
          <c:showSerName val="0"/>
          <c:showPercent val="0"/>
          <c:showBubbleSize val="0"/>
        </c:dLbls>
        <c:gapWidth val="219"/>
        <c:overlap val="-27"/>
        <c:axId val="1264702015"/>
        <c:axId val="1264704895"/>
      </c:barChart>
      <c:catAx>
        <c:axId val="1264702015"/>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264704895"/>
        <c:crosses val="autoZero"/>
        <c:auto val="1"/>
        <c:lblAlgn val="ctr"/>
        <c:lblOffset val="100"/>
        <c:noMultiLvlLbl val="0"/>
      </c:catAx>
      <c:valAx>
        <c:axId val="1264704895"/>
        <c:scaling>
          <c:orientation val="minMax"/>
        </c:scaling>
        <c:delete val="1"/>
        <c:axPos val="l"/>
        <c:numFmt formatCode="0.0" sourceLinked="1"/>
        <c:majorTickMark val="none"/>
        <c:minorTickMark val="none"/>
        <c:tickLblPos val="nextTo"/>
        <c:crossAx val="1264702015"/>
        <c:crosses val="autoZero"/>
        <c:crossBetween val="between"/>
        <c:majorUnit val="0.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9">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alpha val="75000"/>
        </a:schemeClr>
      </a:solidFill>
    </cs:spPr>
  </cs:dataPoint>
  <cs:dataPoint3D>
    <cs:lnRef idx="0"/>
    <cs:fillRef idx="1">
      <cs:styleClr val="auto"/>
    </cs:fillRef>
    <cs:effectRef idx="0"/>
    <cs:fontRef idx="minor">
      <a:schemeClr val="tx1"/>
    </cs:fontRef>
    <cs:spPr>
      <a:solidFill>
        <a:schemeClr val="phClr">
          <a:alpha val="75000"/>
        </a:schemeClr>
      </a:solidFill>
    </cs:spPr>
  </cs:dataPoint3D>
  <cs:dataPointLine>
    <cs:lnRef idx="0">
      <cs:styleClr val="auto"/>
    </cs:lnRef>
    <cs:fillRef idx="1"/>
    <cs:effectRef idx="0"/>
    <cs:fontRef idx="minor">
      <a:schemeClr val="tx1"/>
    </cs:fontRef>
    <cs:spPr>
      <a:ln w="19050" cap="rnd">
        <a:solidFill>
          <a:schemeClr val="phClr">
            <a:alpha val="50000"/>
          </a:scheme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bc54a1b-7228-46a8-872f-b091e9a36c64" xsi:nil="true"/>
    <lcf76f155ced4ddcb4097134ff3c332f xmlns="9432b9c6-3341-4c86-b84c-2be3e977209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A63CAEE2E3C6478D3F111CB5E48102" ma:contentTypeVersion="13" ma:contentTypeDescription="Create a new document." ma:contentTypeScope="" ma:versionID="50f47cb57559de9f31e3bee1860c13f3">
  <xsd:schema xmlns:xsd="http://www.w3.org/2001/XMLSchema" xmlns:xs="http://www.w3.org/2001/XMLSchema" xmlns:p="http://schemas.microsoft.com/office/2006/metadata/properties" xmlns:ns2="9432b9c6-3341-4c86-b84c-2be3e9772095" xmlns:ns3="0bc54a1b-7228-46a8-872f-b091e9a36c64" targetNamespace="http://schemas.microsoft.com/office/2006/metadata/properties" ma:root="true" ma:fieldsID="376f3fa36cdef5ad9503a9d9a29ab9cd" ns2:_="" ns3:_="">
    <xsd:import namespace="9432b9c6-3341-4c86-b84c-2be3e9772095"/>
    <xsd:import namespace="0bc54a1b-7228-46a8-872f-b091e9a36c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2b9c6-3341-4c86-b84c-2be3e9772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e73c03f-66d9-4a0c-9020-e0a0b57c4ca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c54a1b-7228-46a8-872f-b091e9a36c6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c94adb5-3e85-486e-b104-1e78c9c04e0d}" ma:internalName="TaxCatchAll" ma:showField="CatchAllData" ma:web="0bc54a1b-7228-46a8-872f-b091e9a36c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007D4-51F7-4F3E-BE51-3B52DC2F3771}">
  <ds:schemaRefs>
    <ds:schemaRef ds:uri="http://schemas.microsoft.com/office/infopath/2007/PartnerControls"/>
    <ds:schemaRef ds:uri="http://schemas.microsoft.com/office/2006/documentManagement/types"/>
    <ds:schemaRef ds:uri="http://purl.org/dc/elements/1.1/"/>
    <ds:schemaRef ds:uri="http://purl.org/dc/dcmitype/"/>
    <ds:schemaRef ds:uri="0bc54a1b-7228-46a8-872f-b091e9a36c64"/>
    <ds:schemaRef ds:uri="http://www.w3.org/XML/1998/namespace"/>
    <ds:schemaRef ds:uri="9432b9c6-3341-4c86-b84c-2be3e9772095"/>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22154BBD-9330-4558-8F41-6801B4129606}">
  <ds:schemaRefs>
    <ds:schemaRef ds:uri="http://schemas.microsoft.com/sharepoint/v3/contenttype/forms"/>
  </ds:schemaRefs>
</ds:datastoreItem>
</file>

<file path=customXml/itemProps3.xml><?xml version="1.0" encoding="utf-8"?>
<ds:datastoreItem xmlns:ds="http://schemas.openxmlformats.org/officeDocument/2006/customXml" ds:itemID="{C2765523-FFEB-4320-837E-061399C39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2b9c6-3341-4c86-b84c-2be3e9772095"/>
    <ds:schemaRef ds:uri="0bc54a1b-7228-46a8-872f-b091e9a36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8A1D6B-7EF9-4CCD-80B6-0BD85F046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11604</Words>
  <Characters>66148</Characters>
  <Application>Microsoft Office Word</Application>
  <DocSecurity>4</DocSecurity>
  <Lines>551</Lines>
  <Paragraphs>155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77597</CharactersWithSpaces>
  <SharedDoc>false</SharedDoc>
  <HLinks>
    <vt:vector size="108" baseType="variant">
      <vt:variant>
        <vt:i4>2031674</vt:i4>
      </vt:variant>
      <vt:variant>
        <vt:i4>104</vt:i4>
      </vt:variant>
      <vt:variant>
        <vt:i4>0</vt:i4>
      </vt:variant>
      <vt:variant>
        <vt:i4>5</vt:i4>
      </vt:variant>
      <vt:variant>
        <vt:lpwstr/>
      </vt:variant>
      <vt:variant>
        <vt:lpwstr>_Toc193106865</vt:lpwstr>
      </vt:variant>
      <vt:variant>
        <vt:i4>2031674</vt:i4>
      </vt:variant>
      <vt:variant>
        <vt:i4>98</vt:i4>
      </vt:variant>
      <vt:variant>
        <vt:i4>0</vt:i4>
      </vt:variant>
      <vt:variant>
        <vt:i4>5</vt:i4>
      </vt:variant>
      <vt:variant>
        <vt:lpwstr/>
      </vt:variant>
      <vt:variant>
        <vt:lpwstr>_Toc193106864</vt:lpwstr>
      </vt:variant>
      <vt:variant>
        <vt:i4>2031674</vt:i4>
      </vt:variant>
      <vt:variant>
        <vt:i4>92</vt:i4>
      </vt:variant>
      <vt:variant>
        <vt:i4>0</vt:i4>
      </vt:variant>
      <vt:variant>
        <vt:i4>5</vt:i4>
      </vt:variant>
      <vt:variant>
        <vt:lpwstr/>
      </vt:variant>
      <vt:variant>
        <vt:lpwstr>_Toc193106863</vt:lpwstr>
      </vt:variant>
      <vt:variant>
        <vt:i4>2031674</vt:i4>
      </vt:variant>
      <vt:variant>
        <vt:i4>86</vt:i4>
      </vt:variant>
      <vt:variant>
        <vt:i4>0</vt:i4>
      </vt:variant>
      <vt:variant>
        <vt:i4>5</vt:i4>
      </vt:variant>
      <vt:variant>
        <vt:lpwstr/>
      </vt:variant>
      <vt:variant>
        <vt:lpwstr>_Toc193106862</vt:lpwstr>
      </vt:variant>
      <vt:variant>
        <vt:i4>2031674</vt:i4>
      </vt:variant>
      <vt:variant>
        <vt:i4>80</vt:i4>
      </vt:variant>
      <vt:variant>
        <vt:i4>0</vt:i4>
      </vt:variant>
      <vt:variant>
        <vt:i4>5</vt:i4>
      </vt:variant>
      <vt:variant>
        <vt:lpwstr/>
      </vt:variant>
      <vt:variant>
        <vt:lpwstr>_Toc193106861</vt:lpwstr>
      </vt:variant>
      <vt:variant>
        <vt:i4>2031674</vt:i4>
      </vt:variant>
      <vt:variant>
        <vt:i4>74</vt:i4>
      </vt:variant>
      <vt:variant>
        <vt:i4>0</vt:i4>
      </vt:variant>
      <vt:variant>
        <vt:i4>5</vt:i4>
      </vt:variant>
      <vt:variant>
        <vt:lpwstr/>
      </vt:variant>
      <vt:variant>
        <vt:lpwstr>_Toc193106860</vt:lpwstr>
      </vt:variant>
      <vt:variant>
        <vt:i4>1835066</vt:i4>
      </vt:variant>
      <vt:variant>
        <vt:i4>68</vt:i4>
      </vt:variant>
      <vt:variant>
        <vt:i4>0</vt:i4>
      </vt:variant>
      <vt:variant>
        <vt:i4>5</vt:i4>
      </vt:variant>
      <vt:variant>
        <vt:lpwstr/>
      </vt:variant>
      <vt:variant>
        <vt:lpwstr>_Toc193106859</vt:lpwstr>
      </vt:variant>
      <vt:variant>
        <vt:i4>1835066</vt:i4>
      </vt:variant>
      <vt:variant>
        <vt:i4>62</vt:i4>
      </vt:variant>
      <vt:variant>
        <vt:i4>0</vt:i4>
      </vt:variant>
      <vt:variant>
        <vt:i4>5</vt:i4>
      </vt:variant>
      <vt:variant>
        <vt:lpwstr/>
      </vt:variant>
      <vt:variant>
        <vt:lpwstr>_Toc193106858</vt:lpwstr>
      </vt:variant>
      <vt:variant>
        <vt:i4>1835066</vt:i4>
      </vt:variant>
      <vt:variant>
        <vt:i4>56</vt:i4>
      </vt:variant>
      <vt:variant>
        <vt:i4>0</vt:i4>
      </vt:variant>
      <vt:variant>
        <vt:i4>5</vt:i4>
      </vt:variant>
      <vt:variant>
        <vt:lpwstr/>
      </vt:variant>
      <vt:variant>
        <vt:lpwstr>_Toc193106857</vt:lpwstr>
      </vt:variant>
      <vt:variant>
        <vt:i4>1835066</vt:i4>
      </vt:variant>
      <vt:variant>
        <vt:i4>50</vt:i4>
      </vt:variant>
      <vt:variant>
        <vt:i4>0</vt:i4>
      </vt:variant>
      <vt:variant>
        <vt:i4>5</vt:i4>
      </vt:variant>
      <vt:variant>
        <vt:lpwstr/>
      </vt:variant>
      <vt:variant>
        <vt:lpwstr>_Toc193106856</vt:lpwstr>
      </vt:variant>
      <vt:variant>
        <vt:i4>1835066</vt:i4>
      </vt:variant>
      <vt:variant>
        <vt:i4>44</vt:i4>
      </vt:variant>
      <vt:variant>
        <vt:i4>0</vt:i4>
      </vt:variant>
      <vt:variant>
        <vt:i4>5</vt:i4>
      </vt:variant>
      <vt:variant>
        <vt:lpwstr/>
      </vt:variant>
      <vt:variant>
        <vt:lpwstr>_Toc193106855</vt:lpwstr>
      </vt:variant>
      <vt:variant>
        <vt:i4>1835066</vt:i4>
      </vt:variant>
      <vt:variant>
        <vt:i4>38</vt:i4>
      </vt:variant>
      <vt:variant>
        <vt:i4>0</vt:i4>
      </vt:variant>
      <vt:variant>
        <vt:i4>5</vt:i4>
      </vt:variant>
      <vt:variant>
        <vt:lpwstr/>
      </vt:variant>
      <vt:variant>
        <vt:lpwstr>_Toc193106854</vt:lpwstr>
      </vt:variant>
      <vt:variant>
        <vt:i4>1835066</vt:i4>
      </vt:variant>
      <vt:variant>
        <vt:i4>32</vt:i4>
      </vt:variant>
      <vt:variant>
        <vt:i4>0</vt:i4>
      </vt:variant>
      <vt:variant>
        <vt:i4>5</vt:i4>
      </vt:variant>
      <vt:variant>
        <vt:lpwstr/>
      </vt:variant>
      <vt:variant>
        <vt:lpwstr>_Toc193106853</vt:lpwstr>
      </vt:variant>
      <vt:variant>
        <vt:i4>1835066</vt:i4>
      </vt:variant>
      <vt:variant>
        <vt:i4>26</vt:i4>
      </vt:variant>
      <vt:variant>
        <vt:i4>0</vt:i4>
      </vt:variant>
      <vt:variant>
        <vt:i4>5</vt:i4>
      </vt:variant>
      <vt:variant>
        <vt:lpwstr/>
      </vt:variant>
      <vt:variant>
        <vt:lpwstr>_Toc193106852</vt:lpwstr>
      </vt:variant>
      <vt:variant>
        <vt:i4>1835066</vt:i4>
      </vt:variant>
      <vt:variant>
        <vt:i4>20</vt:i4>
      </vt:variant>
      <vt:variant>
        <vt:i4>0</vt:i4>
      </vt:variant>
      <vt:variant>
        <vt:i4>5</vt:i4>
      </vt:variant>
      <vt:variant>
        <vt:lpwstr/>
      </vt:variant>
      <vt:variant>
        <vt:lpwstr>_Toc193106851</vt:lpwstr>
      </vt:variant>
      <vt:variant>
        <vt:i4>1835066</vt:i4>
      </vt:variant>
      <vt:variant>
        <vt:i4>14</vt:i4>
      </vt:variant>
      <vt:variant>
        <vt:i4>0</vt:i4>
      </vt:variant>
      <vt:variant>
        <vt:i4>5</vt:i4>
      </vt:variant>
      <vt:variant>
        <vt:lpwstr/>
      </vt:variant>
      <vt:variant>
        <vt:lpwstr>_Toc193106850</vt:lpwstr>
      </vt:variant>
      <vt:variant>
        <vt:i4>1900602</vt:i4>
      </vt:variant>
      <vt:variant>
        <vt:i4>8</vt:i4>
      </vt:variant>
      <vt:variant>
        <vt:i4>0</vt:i4>
      </vt:variant>
      <vt:variant>
        <vt:i4>5</vt:i4>
      </vt:variant>
      <vt:variant>
        <vt:lpwstr/>
      </vt:variant>
      <vt:variant>
        <vt:lpwstr>_Toc193106849</vt:lpwstr>
      </vt:variant>
      <vt:variant>
        <vt:i4>1900602</vt:i4>
      </vt:variant>
      <vt:variant>
        <vt:i4>2</vt:i4>
      </vt:variant>
      <vt:variant>
        <vt:i4>0</vt:i4>
      </vt:variant>
      <vt:variant>
        <vt:i4>5</vt:i4>
      </vt:variant>
      <vt:variant>
        <vt:lpwstr/>
      </vt:variant>
      <vt:variant>
        <vt:lpwstr>_Toc193106848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Gianluca Toschi</dc:creator>
  <cp:keywords/>
  <dc:description/>
  <cp:lastModifiedBy>Sandro Sanseverinati</cp:lastModifiedBy>
  <cp:revision>2</cp:revision>
  <cp:lastPrinted>2025-03-19T21:21:00Z</cp:lastPrinted>
  <dcterms:created xsi:type="dcterms:W3CDTF">2025-03-19T13:40:00Z</dcterms:created>
  <dcterms:modified xsi:type="dcterms:W3CDTF">2025-03-19T13:40:00Z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0x01010035A63CAEE2E3C6478D3F111CB5E48102</vt:lpwstr>
  </property>
  <property fmtid="{D5CDD505-2E9C-101B-9397-08002B2CF9AE}" pid="3" name="MediaServiceImageTags">
    <vt:lpwstr/>
  </property>
</Properties>
</file>